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9968" w14:textId="77777777" w:rsidR="00BE6ABF" w:rsidRPr="0018475F" w:rsidRDefault="00BE6ABF" w:rsidP="00BE6ABF">
      <w:pPr>
        <w:pStyle w:val="KitName"/>
      </w:pPr>
      <w:r w:rsidRPr="0018475F">
        <w:rPr>
          <w:bCs/>
          <w:lang w:val="sk"/>
        </w:rPr>
        <w:t>CONFIRM anti-S100 (Polyclonal) Primary Antibody</w:t>
      </w:r>
    </w:p>
    <w:tbl>
      <w:tblPr>
        <w:tblW w:w="0" w:type="auto"/>
        <w:tblLayout w:type="fixed"/>
        <w:tblLook w:val="04A0" w:firstRow="1" w:lastRow="0" w:firstColumn="1" w:lastColumn="0" w:noHBand="0" w:noVBand="1"/>
      </w:tblPr>
      <w:tblGrid>
        <w:gridCol w:w="816"/>
        <w:gridCol w:w="390"/>
        <w:gridCol w:w="3939"/>
      </w:tblGrid>
      <w:tr w:rsidR="00BE6ABF" w:rsidRPr="0018475F" w14:paraId="3210B5E9" w14:textId="77777777" w:rsidTr="00001B42">
        <w:trPr>
          <w:trHeight w:val="39"/>
        </w:trPr>
        <w:tc>
          <w:tcPr>
            <w:tcW w:w="816" w:type="dxa"/>
            <w:vAlign w:val="center"/>
          </w:tcPr>
          <w:p w14:paraId="18671183" w14:textId="77777777" w:rsidR="00BE6ABF" w:rsidRPr="0018475F" w:rsidRDefault="00BE6ABF" w:rsidP="00BE6ABF">
            <w:pPr>
              <w:pStyle w:val="REFsymbol"/>
            </w:pPr>
            <w:r w:rsidRPr="0018475F">
              <w:rPr>
                <w:noProof/>
                <w:lang w:val="sk"/>
              </w:rPr>
              <w:drawing>
                <wp:inline distT="0" distB="0" distL="0" distR="0" wp14:anchorId="0523C4DC" wp14:editId="4843EA56">
                  <wp:extent cx="352425" cy="21145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bel_2-Catalogue number.jpg"/>
                          <pic:cNvPicPr/>
                        </pic:nvPicPr>
                        <pic:blipFill rotWithShape="1">
                          <a:blip r:embed="rId8" cstate="print">
                            <a:extLst>
                              <a:ext uri="{28A0092B-C50C-407E-A947-70E740481C1C}">
                                <a14:useLocalDpi xmlns:a14="http://schemas.microsoft.com/office/drawing/2010/main" val="0"/>
                              </a:ext>
                            </a:extLst>
                          </a:blip>
                          <a:srcRect l="3500" t="22000" r="4000" b="22500"/>
                          <a:stretch/>
                        </pic:blipFill>
                        <pic:spPr bwMode="auto">
                          <a:xfrm>
                            <a:off x="0" y="0"/>
                            <a:ext cx="352425" cy="211455"/>
                          </a:xfrm>
                          <a:prstGeom prst="rect">
                            <a:avLst/>
                          </a:prstGeom>
                          <a:ln>
                            <a:noFill/>
                          </a:ln>
                          <a:extLst>
                            <a:ext uri="{53640926-AAD7-44D8-BBD7-CCE9431645EC}">
                              <a14:shadowObscured xmlns:a14="http://schemas.microsoft.com/office/drawing/2010/main"/>
                            </a:ext>
                          </a:extLst>
                        </pic:spPr>
                      </pic:pic>
                    </a:graphicData>
                  </a:graphic>
                </wp:inline>
              </w:drawing>
            </w:r>
          </w:p>
        </w:tc>
        <w:tc>
          <w:tcPr>
            <w:tcW w:w="4329" w:type="dxa"/>
            <w:gridSpan w:val="2"/>
            <w:tcMar>
              <w:left w:w="0" w:type="dxa"/>
              <w:right w:w="115" w:type="dxa"/>
            </w:tcMar>
            <w:vAlign w:val="center"/>
          </w:tcPr>
          <w:p w14:paraId="45178331" w14:textId="77777777" w:rsidR="00BE6ABF" w:rsidRPr="0018475F" w:rsidRDefault="00BE6ABF" w:rsidP="00BE6ABF">
            <w:pPr>
              <w:pStyle w:val="CatalogNumberVentana"/>
            </w:pPr>
            <w:r w:rsidRPr="0018475F">
              <w:rPr>
                <w:lang w:val="sk"/>
              </w:rPr>
              <w:t xml:space="preserve">760-2523 </w:t>
            </w:r>
          </w:p>
        </w:tc>
      </w:tr>
      <w:tr w:rsidR="007B11C2" w:rsidRPr="0018475F" w14:paraId="43E6F41D" w14:textId="77777777" w:rsidTr="00001B42">
        <w:trPr>
          <w:trHeight w:val="39"/>
        </w:trPr>
        <w:tc>
          <w:tcPr>
            <w:tcW w:w="816" w:type="dxa"/>
            <w:vAlign w:val="bottom"/>
          </w:tcPr>
          <w:p w14:paraId="461F6D95" w14:textId="77777777" w:rsidR="007B11C2" w:rsidRPr="0018475F" w:rsidRDefault="007B11C2" w:rsidP="00001B42"/>
        </w:tc>
        <w:tc>
          <w:tcPr>
            <w:tcW w:w="4329" w:type="dxa"/>
            <w:gridSpan w:val="2"/>
            <w:tcMar>
              <w:left w:w="0" w:type="dxa"/>
              <w:right w:w="115" w:type="dxa"/>
            </w:tcMar>
            <w:vAlign w:val="center"/>
          </w:tcPr>
          <w:p w14:paraId="3EBBC0F9" w14:textId="77777777" w:rsidR="007B11C2" w:rsidRPr="0018475F" w:rsidRDefault="00BE6ABF" w:rsidP="00001B42">
            <w:pPr>
              <w:pStyle w:val="CatalogNumberRoche"/>
              <w:rPr>
                <w:i/>
              </w:rPr>
            </w:pPr>
            <w:r w:rsidRPr="0018475F">
              <w:rPr>
                <w:lang w:val="sk"/>
              </w:rPr>
              <w:t>05267072001</w:t>
            </w:r>
          </w:p>
        </w:tc>
      </w:tr>
      <w:tr w:rsidR="007B11C2" w:rsidRPr="0018475F" w14:paraId="6BEC6015" w14:textId="77777777" w:rsidTr="00001B42">
        <w:trPr>
          <w:trHeight w:val="39"/>
        </w:trPr>
        <w:tc>
          <w:tcPr>
            <w:tcW w:w="816" w:type="dxa"/>
            <w:vAlign w:val="center"/>
          </w:tcPr>
          <w:p w14:paraId="0E2FC658" w14:textId="77777777" w:rsidR="007B11C2" w:rsidRPr="0018475F" w:rsidRDefault="007B11C2" w:rsidP="00001B42">
            <w:pPr>
              <w:pStyle w:val="REFsymbol"/>
            </w:pPr>
            <w:r w:rsidRPr="0018475F">
              <w:rPr>
                <w:noProof/>
                <w:lang w:val="sk"/>
              </w:rPr>
              <w:drawing>
                <wp:inline distT="0" distB="0" distL="0" distR="0" wp14:anchorId="7081CAD8" wp14:editId="3E4FA5FF">
                  <wp:extent cx="358140" cy="21717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bel_2-In vitro diagnostic medical device.jpg"/>
                          <pic:cNvPicPr/>
                        </pic:nvPicPr>
                        <pic:blipFill rotWithShape="1">
                          <a:blip r:embed="rId9" cstate="print">
                            <a:extLst>
                              <a:ext uri="{28A0092B-C50C-407E-A947-70E740481C1C}">
                                <a14:useLocalDpi xmlns:a14="http://schemas.microsoft.com/office/drawing/2010/main" val="0"/>
                              </a:ext>
                            </a:extLst>
                          </a:blip>
                          <a:srcRect l="3000" t="21000" r="3000" b="22000"/>
                          <a:stretch/>
                        </pic:blipFill>
                        <pic:spPr bwMode="auto">
                          <a:xfrm>
                            <a:off x="0" y="0"/>
                            <a:ext cx="358140" cy="217170"/>
                          </a:xfrm>
                          <a:prstGeom prst="rect">
                            <a:avLst/>
                          </a:prstGeom>
                          <a:ln>
                            <a:noFill/>
                          </a:ln>
                          <a:extLst>
                            <a:ext uri="{53640926-AAD7-44D8-BBD7-CCE9431645EC}">
                              <a14:shadowObscured xmlns:a14="http://schemas.microsoft.com/office/drawing/2010/main"/>
                            </a:ext>
                          </a:extLst>
                        </pic:spPr>
                      </pic:pic>
                    </a:graphicData>
                  </a:graphic>
                </wp:inline>
              </w:drawing>
            </w:r>
          </w:p>
        </w:tc>
        <w:tc>
          <w:tcPr>
            <w:tcW w:w="390" w:type="dxa"/>
            <w:tcMar>
              <w:left w:w="0" w:type="dxa"/>
              <w:right w:w="0" w:type="dxa"/>
            </w:tcMar>
            <w:vAlign w:val="center"/>
          </w:tcPr>
          <w:p w14:paraId="59D8CE39" w14:textId="77777777" w:rsidR="007B11C2" w:rsidRPr="0018475F" w:rsidRDefault="007B11C2" w:rsidP="00001B42">
            <w:pPr>
              <w:pStyle w:val="TestsNumber"/>
            </w:pPr>
            <w:r w:rsidRPr="0018475F">
              <w:rPr>
                <w:lang w:val="sk"/>
              </w:rPr>
              <w:drawing>
                <wp:inline distT="0" distB="0" distL="0" distR="0" wp14:anchorId="10A00646" wp14:editId="661D6EB7">
                  <wp:extent cx="228600" cy="2076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bel_2-Contains sufficient for for _n_ tests.jpg"/>
                          <pic:cNvPicPr/>
                        </pic:nvPicPr>
                        <pic:blipFill rotWithShape="1">
                          <a:blip r:embed="rId10" cstate="print">
                            <a:extLst>
                              <a:ext uri="{28A0092B-C50C-407E-A947-70E740481C1C}">
                                <a14:useLocalDpi xmlns:a14="http://schemas.microsoft.com/office/drawing/2010/main" val="0"/>
                              </a:ext>
                            </a:extLst>
                          </a:blip>
                          <a:srcRect l="3846" t="9999" r="3846" b="6155"/>
                          <a:stretch/>
                        </pic:blipFill>
                        <pic:spPr bwMode="auto">
                          <a:xfrm>
                            <a:off x="0" y="0"/>
                            <a:ext cx="228600" cy="207645"/>
                          </a:xfrm>
                          <a:prstGeom prst="rect">
                            <a:avLst/>
                          </a:prstGeom>
                          <a:ln>
                            <a:noFill/>
                          </a:ln>
                          <a:extLst>
                            <a:ext uri="{53640926-AAD7-44D8-BBD7-CCE9431645EC}">
                              <a14:shadowObscured xmlns:a14="http://schemas.microsoft.com/office/drawing/2010/main"/>
                            </a:ext>
                          </a:extLst>
                        </pic:spPr>
                      </pic:pic>
                    </a:graphicData>
                  </a:graphic>
                </wp:inline>
              </w:drawing>
            </w:r>
          </w:p>
        </w:tc>
        <w:tc>
          <w:tcPr>
            <w:tcW w:w="3939" w:type="dxa"/>
            <w:tcMar>
              <w:left w:w="0" w:type="dxa"/>
              <w:right w:w="115" w:type="dxa"/>
            </w:tcMar>
            <w:vAlign w:val="bottom"/>
          </w:tcPr>
          <w:p w14:paraId="6D6C39A5" w14:textId="77777777" w:rsidR="007B11C2" w:rsidRPr="0018475F" w:rsidRDefault="00BE6ABF" w:rsidP="00001B42">
            <w:pPr>
              <w:pStyle w:val="TestsNumber"/>
              <w:rPr>
                <w:i/>
              </w:rPr>
            </w:pPr>
            <w:r w:rsidRPr="0018475F">
              <w:rPr>
                <w:lang w:val="sk"/>
              </w:rPr>
              <w:t>50</w:t>
            </w:r>
          </w:p>
        </w:tc>
      </w:tr>
    </w:tbl>
    <w:p w14:paraId="662EEA41" w14:textId="77777777" w:rsidR="007B11C2" w:rsidRPr="0018475F" w:rsidRDefault="007B11C2" w:rsidP="007B11C2">
      <w:pPr>
        <w:pStyle w:val="BodyText"/>
      </w:pPr>
    </w:p>
    <w:tbl>
      <w:tblPr>
        <w:tblpPr w:leftFromText="187" w:rightFromText="187" w:vertAnchor="text" w:tblpX="1" w:tblpY="1"/>
        <w:tblOverlap w:val="never"/>
        <w:tblW w:w="0" w:type="auto"/>
        <w:tblCellMar>
          <w:left w:w="115" w:type="dxa"/>
          <w:right w:w="115" w:type="dxa"/>
        </w:tblCellMar>
        <w:tblLook w:val="01E0" w:firstRow="1" w:lastRow="1" w:firstColumn="1" w:lastColumn="1" w:noHBand="0" w:noVBand="0"/>
      </w:tblPr>
      <w:tblGrid>
        <w:gridCol w:w="2725"/>
      </w:tblGrid>
      <w:tr w:rsidR="007B11C2" w:rsidRPr="0018475F" w14:paraId="45C40A38" w14:textId="77777777" w:rsidTr="00BE6ABF">
        <w:trPr>
          <w:trHeight w:val="2072"/>
        </w:trPr>
        <w:tc>
          <w:tcPr>
            <w:tcW w:w="2725" w:type="dxa"/>
          </w:tcPr>
          <w:p w14:paraId="30DDBDB8" w14:textId="77777777" w:rsidR="007B11C2" w:rsidRPr="0018475F" w:rsidRDefault="00BE6ABF" w:rsidP="00001B42">
            <w:pPr>
              <w:pStyle w:val="BodyText"/>
            </w:pPr>
            <w:r w:rsidRPr="0018475F">
              <w:rPr>
                <w:noProof/>
                <w:lang w:val="sk"/>
              </w:rPr>
              <w:drawing>
                <wp:anchor distT="0" distB="0" distL="114300" distR="114300" simplePos="0" relativeHeight="251661312" behindDoc="0" locked="1" layoutInCell="1" allowOverlap="1" wp14:anchorId="122D40AB" wp14:editId="6D169FF5">
                  <wp:simplePos x="0" y="0"/>
                  <wp:positionH relativeFrom="column">
                    <wp:posOffset>-74930</wp:posOffset>
                  </wp:positionH>
                  <wp:positionV relativeFrom="paragraph">
                    <wp:posOffset>21590</wp:posOffset>
                  </wp:positionV>
                  <wp:extent cx="1718945" cy="1297940"/>
                  <wp:effectExtent l="19050" t="19050" r="14605" b="16510"/>
                  <wp:wrapNone/>
                  <wp:docPr id="1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ample_ft040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10800000">
                            <a:off x="0" y="0"/>
                            <a:ext cx="1718945" cy="1297940"/>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B11C2" w:rsidRPr="0018475F" w14:paraId="11477D02" w14:textId="77777777" w:rsidTr="00001B42">
        <w:trPr>
          <w:trHeight w:val="472"/>
        </w:trPr>
        <w:tc>
          <w:tcPr>
            <w:tcW w:w="2725" w:type="dxa"/>
          </w:tcPr>
          <w:p w14:paraId="0CC8E009" w14:textId="77777777" w:rsidR="007B11C2" w:rsidRPr="0018475F" w:rsidRDefault="00BE6ABF" w:rsidP="0018475F">
            <w:pPr>
              <w:pStyle w:val="FigureNumber"/>
              <w:ind w:left="0" w:firstLine="0"/>
            </w:pPr>
            <w:r w:rsidRPr="0018475F">
              <w:rPr>
                <w:lang w:val="sk"/>
              </w:rPr>
              <w:t>CONFIRM anti-S100 (Polyclonal) Primary Antibody vykazujúca nukleárny a cytoplazmatický vzor farbenia v tkanive melanómu.</w:t>
            </w:r>
          </w:p>
        </w:tc>
      </w:tr>
    </w:tbl>
    <w:p w14:paraId="7E9370FE" w14:textId="77777777" w:rsidR="007B11C2" w:rsidRPr="0018475F" w:rsidRDefault="007B11C2" w:rsidP="00DD5D5D">
      <w:pPr>
        <w:pStyle w:val="Heading1"/>
      </w:pPr>
      <w:r w:rsidRPr="0018475F">
        <w:rPr>
          <w:bCs/>
          <w:lang w:val="sk"/>
        </w:rPr>
        <w:t>Určené použitie</w:t>
      </w:r>
    </w:p>
    <w:p w14:paraId="7962B41C" w14:textId="77777777" w:rsidR="00BE6ABF" w:rsidRPr="0018475F" w:rsidRDefault="00BE6ABF" w:rsidP="00BE6ABF">
      <w:pPr>
        <w:pStyle w:val="BodyText"/>
      </w:pPr>
      <w:r w:rsidRPr="0018475F">
        <w:rPr>
          <w:lang w:val="sk"/>
        </w:rPr>
        <w:t xml:space="preserve">CONFIRM anti-S100 (Polyclonal) Primary Antibody je králičia polyklonálna protilátka určená na laboratórne použitie na kvalitatívnu imunohistochemickú detekciu proteínu S100 svetelnou mikroskopiou v rezoch tkaniva fixovaného formalínom, zaliateho v parafíne farbeného v prístroji BenchMark IHC/ISH. </w:t>
      </w:r>
    </w:p>
    <w:p w14:paraId="5AA48F7B" w14:textId="77777777" w:rsidR="00BE6ABF" w:rsidRPr="0018475F" w:rsidRDefault="00BE6ABF" w:rsidP="00BE6ABF">
      <w:pPr>
        <w:pStyle w:val="BodyText"/>
      </w:pPr>
      <w:r w:rsidRPr="0018475F">
        <w:rPr>
          <w:lang w:val="sk"/>
        </w:rPr>
        <w:t xml:space="preserve">Tento produkt by mal interpretovať kvalifikovaný patológ v spojení s histologickým vyšetrením, relevantnými klinickými informáciami a správnymi kontrolami. </w:t>
      </w:r>
    </w:p>
    <w:p w14:paraId="76213E84" w14:textId="77777777" w:rsidR="00BE6ABF" w:rsidRPr="0018475F" w:rsidRDefault="00BE6ABF" w:rsidP="00BE6ABF">
      <w:pPr>
        <w:pStyle w:val="BodyText"/>
        <w:rPr>
          <w:lang w:val="es-AR"/>
        </w:rPr>
      </w:pPr>
      <w:r w:rsidRPr="0018475F">
        <w:rPr>
          <w:lang w:val="sk"/>
        </w:rPr>
        <w:t xml:space="preserve">Táto protilátka je určená na diagnostické použitie </w:t>
      </w:r>
      <w:r w:rsidRPr="0018475F">
        <w:rPr>
          <w:rStyle w:val="Italics"/>
          <w:iCs/>
          <w:lang w:val="sk"/>
        </w:rPr>
        <w:t>in vitro</w:t>
      </w:r>
      <w:r w:rsidRPr="0018475F">
        <w:rPr>
          <w:lang w:val="sk"/>
        </w:rPr>
        <w:t xml:space="preserve"> (IVD).</w:t>
      </w:r>
    </w:p>
    <w:p w14:paraId="7468502D" w14:textId="77777777" w:rsidR="00BE6ABF" w:rsidRPr="0018475F" w:rsidRDefault="00BE6ABF" w:rsidP="00BE6ABF">
      <w:pPr>
        <w:pStyle w:val="Heading1"/>
        <w:rPr>
          <w:lang w:val="es-AR"/>
        </w:rPr>
      </w:pPr>
      <w:r w:rsidRPr="0018475F">
        <w:rPr>
          <w:bCs/>
          <w:lang w:val="sk"/>
        </w:rPr>
        <w:t>Súhrn a vysvetlenie</w:t>
      </w:r>
    </w:p>
    <w:p w14:paraId="60D8C2DC" w14:textId="77777777" w:rsidR="00BE6ABF" w:rsidRPr="0018475F" w:rsidRDefault="00BE6ABF" w:rsidP="00BE6ABF">
      <w:pPr>
        <w:pStyle w:val="BodyText"/>
        <w:rPr>
          <w:lang w:val="es-AR"/>
        </w:rPr>
      </w:pPr>
      <w:r w:rsidRPr="0018475F">
        <w:rPr>
          <w:lang w:val="sk"/>
        </w:rPr>
        <w:t xml:space="preserve">Rodina proteínov S100 pozostáva z minimálne 25 EF-hand proteínov </w:t>
      </w:r>
      <w:hyperlink r:id="rId12" w:tooltip="Zistite viac informácií o viazaní vápnika" w:history="1">
        <w:r w:rsidRPr="0018475F">
          <w:rPr>
            <w:lang w:val="sk"/>
          </w:rPr>
          <w:t>viažucich vápnik</w:t>
        </w:r>
      </w:hyperlink>
      <w:r w:rsidRPr="0018475F">
        <w:rPr>
          <w:lang w:val="sk"/>
        </w:rPr>
        <w:t xml:space="preserve"> s nízkou molekulovou hmotnosťou (9 – 13 kDa).</w:t>
      </w:r>
      <w:r w:rsidRPr="0018475F">
        <w:rPr>
          <w:rStyle w:val="Reference"/>
          <w:lang w:val="sk"/>
        </w:rPr>
        <w:t>1</w:t>
      </w:r>
      <w:r w:rsidRPr="0018475F">
        <w:rPr>
          <w:lang w:val="sk"/>
        </w:rPr>
        <w:t xml:space="preserve"> Väčšina z týchto proteínov sú homodiméry a heterodiméry, v ktorých sú monoméry nekovalentne viazané.</w:t>
      </w:r>
      <w:r w:rsidRPr="0018475F">
        <w:rPr>
          <w:rStyle w:val="Reference"/>
          <w:lang w:val="sk"/>
        </w:rPr>
        <w:t>1</w:t>
      </w:r>
      <w:r w:rsidRPr="0018475F">
        <w:rPr>
          <w:lang w:val="sk"/>
        </w:rPr>
        <w:t xml:space="preserve"> Členovia rodiny S100 sa exprimujú v širokej škále typov buniek a podieľajú sa na regulácii rôznych vnútrobunkových procesov, ako je kontrakcia, pohyblivost, bunkový rast, regulácia bunkového cyklu, regulácia transkripčných faktorov a fosforylácia proteínov.</w:t>
      </w:r>
      <w:r w:rsidRPr="0018475F">
        <w:rPr>
          <w:rStyle w:val="Reference"/>
          <w:lang w:val="sk"/>
        </w:rPr>
        <w:t>1,2</w:t>
      </w:r>
      <w:r w:rsidRPr="0018475F">
        <w:rPr>
          <w:lang w:val="sk"/>
        </w:rPr>
        <w:t xml:space="preserve"> Vybrané proteíny S100 sa tiež vylučujú a/alebo uvoľňujú pri poškodení buniek a majú extracelulárne funkcie.</w:t>
      </w:r>
      <w:r w:rsidRPr="0018475F">
        <w:rPr>
          <w:rStyle w:val="Reference"/>
          <w:lang w:val="sk"/>
        </w:rPr>
        <w:t>1,2</w:t>
      </w:r>
      <w:r w:rsidRPr="0018475F">
        <w:rPr>
          <w:lang w:val="sk"/>
        </w:rPr>
        <w:t xml:space="preserve"> </w:t>
      </w:r>
    </w:p>
    <w:p w14:paraId="76B85D24" w14:textId="77777777" w:rsidR="00BE6ABF" w:rsidRPr="0018475F" w:rsidRDefault="00BE6ABF" w:rsidP="00BE6ABF">
      <w:pPr>
        <w:pStyle w:val="BodyText"/>
        <w:rPr>
          <w:lang w:val="es-AR"/>
        </w:rPr>
      </w:pPr>
      <w:r w:rsidRPr="0018475F">
        <w:rPr>
          <w:lang w:val="sk"/>
        </w:rPr>
        <w:t>S100 sa exprimuje vo viacerých typoch buniek vrátane melanocytov, astrocytov, Langerhansových buniek, buniek chrupavkového a tukového tkaniva, gliových a nervových buniek, Schwannových buniek a myoepitelových buniek.</w:t>
      </w:r>
      <w:r w:rsidRPr="0018475F">
        <w:rPr>
          <w:rStyle w:val="Reference"/>
          <w:lang w:val="sk"/>
        </w:rPr>
        <w:t>1,3</w:t>
      </w:r>
      <w:r w:rsidRPr="0018475F">
        <w:rPr>
          <w:lang w:val="sk"/>
        </w:rPr>
        <w:t xml:space="preserve"> Neoplázie odvodené z týchto typov buniek tiež exprimujú S100, ako sú melanómy, vybrané histiocytové proliferácie, schwannómy, rôzne karcinómy (napr. karcinómy slinných žliaz, karcinómy potných žliaz), gliómy a nádory periférneho nervového plášťa (PNST).</w:t>
      </w:r>
      <w:r w:rsidRPr="0018475F">
        <w:rPr>
          <w:rStyle w:val="Reference"/>
          <w:lang w:val="sk"/>
        </w:rPr>
        <w:t>1,3</w:t>
      </w:r>
      <w:r w:rsidRPr="0018475F">
        <w:rPr>
          <w:lang w:val="sk"/>
        </w:rPr>
        <w:t xml:space="preserve"> </w:t>
      </w:r>
    </w:p>
    <w:p w14:paraId="19DA2B83" w14:textId="77777777" w:rsidR="00BE6ABF" w:rsidRPr="0018475F" w:rsidRDefault="00BE6ABF" w:rsidP="00BE6ABF">
      <w:pPr>
        <w:pStyle w:val="BodyText"/>
        <w:rPr>
          <w:lang w:val="sk"/>
        </w:rPr>
      </w:pPr>
      <w:r w:rsidRPr="0018475F">
        <w:rPr>
          <w:lang w:val="sk"/>
        </w:rPr>
        <w:t>Detekcia proteínu S100 použitím imunohistochémie (IHC) s protilátkou CONFIRM anti-S100 (Polyclonal) Primary Antibody (protilátka CONFIRM anti-S100 (Polyclonal)) sa môže použiť ako melanocytový marker, ktorý slúži ako pomôcka pri diferenciálnej diagnostike melanocytových a nemelanocytových nádorov. Protilátku je možné použiť ako súčasť panelu IHC štúdií. Vzor farbenia je cytoplazmatický a nukleárny.</w:t>
      </w:r>
    </w:p>
    <w:p w14:paraId="61C3F6C3" w14:textId="77777777" w:rsidR="00BE6ABF" w:rsidRPr="0018475F" w:rsidRDefault="00BE6ABF" w:rsidP="00BE6ABF">
      <w:pPr>
        <w:pStyle w:val="Heading1"/>
        <w:rPr>
          <w:lang w:val="sk"/>
        </w:rPr>
      </w:pPr>
      <w:r w:rsidRPr="0018475F">
        <w:rPr>
          <w:bCs/>
          <w:lang w:val="sk"/>
        </w:rPr>
        <w:t>Princíp postupu</w:t>
      </w:r>
    </w:p>
    <w:p w14:paraId="35DE7D31" w14:textId="77777777" w:rsidR="00BE6ABF" w:rsidRPr="0018475F" w:rsidRDefault="00BE6ABF" w:rsidP="00BE6ABF">
      <w:pPr>
        <w:pStyle w:val="BodyText"/>
        <w:rPr>
          <w:lang w:val="sk"/>
        </w:rPr>
      </w:pPr>
      <w:r w:rsidRPr="0018475F">
        <w:rPr>
          <w:lang w:val="sk"/>
        </w:rPr>
        <w:t xml:space="preserve">Protilátka CONFIRM anti-S100 (Polyclonal) je králičia polyklonálna protilátka produkovaná proti purifikovanému hovädziemu proteínu S100 z mozgu. Protilátka CONFIRM anti-S100 (Polyclonal) sa viaže na proteín S100 v tkanivových rezoch fixovaných formalínom, zaliatych v parafíne (FFPE) a vykazuje nukleárny a cytoplazmatický vzor farbenia. Túto protilátku je možné vizualizovať pomocou súpravy OptiView DAB IHC Detection Kit (kat. č. 760-700 / 06396500001) alebo </w:t>
      </w:r>
      <w:r w:rsidRPr="0018475F">
        <w:rPr>
          <w:rStyle w:val="ultraView"/>
          <w:lang w:val="sk"/>
        </w:rPr>
        <w:t>ultra</w:t>
      </w:r>
      <w:r w:rsidRPr="0018475F">
        <w:rPr>
          <w:lang w:val="sk"/>
        </w:rPr>
        <w:t xml:space="preserve">View Universal DAB Detection Kit (kat. č. 760-500 / 05269806001) alebo </w:t>
      </w:r>
      <w:r w:rsidRPr="0018475F">
        <w:rPr>
          <w:rStyle w:val="ultraView"/>
          <w:lang w:val="sk"/>
        </w:rPr>
        <w:t>ultra</w:t>
      </w:r>
      <w:r w:rsidRPr="0018475F">
        <w:rPr>
          <w:lang w:val="sk"/>
        </w:rPr>
        <w:t>View Universal Alkaline Phosphatase Red Detection Kit (kat. č. 760-501 / 05269814001). Ďalšie informácie nájdete v príslušnom metodickom liste.</w:t>
      </w:r>
    </w:p>
    <w:p w14:paraId="33759F49" w14:textId="77777777" w:rsidR="00BE6ABF" w:rsidRPr="0018475F" w:rsidRDefault="00BE6ABF" w:rsidP="00BE6ABF">
      <w:pPr>
        <w:pStyle w:val="Heading1"/>
        <w:rPr>
          <w:lang w:val="sk"/>
        </w:rPr>
      </w:pPr>
      <w:r w:rsidRPr="0018475F">
        <w:rPr>
          <w:bCs/>
          <w:lang w:val="sk"/>
        </w:rPr>
        <w:t>Dodávaný materiál</w:t>
      </w:r>
    </w:p>
    <w:p w14:paraId="426C8F3B" w14:textId="77777777" w:rsidR="00BE6ABF" w:rsidRPr="0018475F" w:rsidRDefault="00BE6ABF" w:rsidP="00BE6ABF">
      <w:pPr>
        <w:pStyle w:val="BodyText"/>
        <w:rPr>
          <w:lang w:val="sk"/>
        </w:rPr>
      </w:pPr>
      <w:r w:rsidRPr="0018475F">
        <w:rPr>
          <w:lang w:val="sk"/>
        </w:rPr>
        <w:t>Protilátka CONFIRM anti-S100 (Polyclonal) obsahuje dostatok reagencií na 50 testov.</w:t>
      </w:r>
    </w:p>
    <w:p w14:paraId="59BFB0DC" w14:textId="77777777" w:rsidR="00BE6ABF" w:rsidRPr="0018475F" w:rsidRDefault="00BE6ABF" w:rsidP="00BE6ABF">
      <w:pPr>
        <w:pStyle w:val="BodyText"/>
        <w:rPr>
          <w:lang w:val="sk"/>
        </w:rPr>
      </w:pPr>
      <w:r w:rsidRPr="0018475F">
        <w:rPr>
          <w:lang w:val="sk"/>
        </w:rPr>
        <w:t>Jeden 5 mL dávkovač protilátky CONFIRM anti-S100 (Polyclonal) obsahuje približne 50 µg králičej polyklonálnej protilátky.</w:t>
      </w:r>
    </w:p>
    <w:p w14:paraId="29F0CD60" w14:textId="77777777" w:rsidR="00BE6ABF" w:rsidRPr="0018475F" w:rsidRDefault="00BE6ABF" w:rsidP="00BE6ABF">
      <w:pPr>
        <w:pStyle w:val="BodyText"/>
        <w:rPr>
          <w:lang w:val="sk"/>
        </w:rPr>
      </w:pPr>
      <w:r w:rsidRPr="0018475F">
        <w:rPr>
          <w:lang w:val="sk"/>
        </w:rPr>
        <w:t>Protilátka sa riedi vo fosfátom pufrovanom (tlmenom) soľnom roztoku s proteínovým nosičom a 0.05 % konzervačnou látkou ProClin 300.</w:t>
      </w:r>
    </w:p>
    <w:p w14:paraId="1603B378" w14:textId="77777777" w:rsidR="00BE6ABF" w:rsidRPr="0018475F" w:rsidRDefault="00BE6ABF" w:rsidP="00BE6ABF">
      <w:pPr>
        <w:pStyle w:val="BodyText"/>
        <w:rPr>
          <w:lang w:val="es-AR"/>
        </w:rPr>
      </w:pPr>
      <w:r w:rsidRPr="0018475F">
        <w:rPr>
          <w:lang w:val="sk"/>
        </w:rPr>
        <w:t>Koncentrácia špecifickej protilátky je približne 10 μg/mL. V tomto produkte sa nespozorovala žiadna reaktivita na nešpecifické protilátky.</w:t>
      </w:r>
    </w:p>
    <w:p w14:paraId="2708C309" w14:textId="77777777" w:rsidR="00BE6ABF" w:rsidRPr="0018475F" w:rsidRDefault="00BE6ABF" w:rsidP="00BE6ABF">
      <w:pPr>
        <w:pStyle w:val="BodyText"/>
        <w:rPr>
          <w:lang w:val="es-AR"/>
        </w:rPr>
      </w:pPr>
      <w:r w:rsidRPr="0018475F">
        <w:rPr>
          <w:lang w:val="sk"/>
        </w:rPr>
        <w:t>V príslušnom metodickom liste k detekčnej súprave VENTANA nájdete podrobný opis nasledujúcich bodov: Princíp postupu, Materiál a metódy, Získavanie a príprava vzoriek na analýzu, Postupy kontroly kvality, Riešenie problémov, Interpretácia výsledkov a Obmedzenia.</w:t>
      </w:r>
    </w:p>
    <w:p w14:paraId="162EEBD7" w14:textId="77777777" w:rsidR="00BE6ABF" w:rsidRPr="0018475F" w:rsidRDefault="00BE6ABF" w:rsidP="00BE6ABF">
      <w:pPr>
        <w:pStyle w:val="Heading1"/>
        <w:rPr>
          <w:lang w:val="es-AR"/>
        </w:rPr>
      </w:pPr>
      <w:r w:rsidRPr="0018475F">
        <w:rPr>
          <w:bCs/>
          <w:lang w:val="sk"/>
        </w:rPr>
        <w:t>Potrebné materiály, ktoré nie sú súčasťou dodávky</w:t>
      </w:r>
    </w:p>
    <w:p w14:paraId="211A5A18" w14:textId="77777777" w:rsidR="00BE6ABF" w:rsidRPr="0018475F" w:rsidRDefault="00BE6ABF" w:rsidP="00BE6ABF">
      <w:pPr>
        <w:pStyle w:val="BodyText"/>
        <w:rPr>
          <w:lang w:val="es-AR"/>
        </w:rPr>
      </w:pPr>
      <w:r w:rsidRPr="0018475F">
        <w:rPr>
          <w:lang w:val="sk"/>
        </w:rPr>
        <w:t>Farbiace reagencie, napr. detekčné súpravy VENTANA, a pomocné komponenty vrátane sklíčok na negatívnu a pozitívnu kontrolu tkaniva nie sú súčasťou dodávky.</w:t>
      </w:r>
    </w:p>
    <w:p w14:paraId="0AFF0D09" w14:textId="77777777" w:rsidR="00BE6ABF" w:rsidRPr="0018475F" w:rsidRDefault="00BE6ABF" w:rsidP="00BE6ABF">
      <w:pPr>
        <w:pStyle w:val="BodyText"/>
        <w:rPr>
          <w:lang w:val="sk"/>
        </w:rPr>
      </w:pPr>
      <w:r w:rsidRPr="0018475F">
        <w:rPr>
          <w:lang w:val="sk"/>
        </w:rPr>
        <w:t>Nie všetky produkty uvedené v metodickom liste musia byť dostupné vo všetkých regiónoch. Obráťte sa na miestneho zástupcu podpory.</w:t>
      </w:r>
    </w:p>
    <w:p w14:paraId="75A3BC3A" w14:textId="77777777" w:rsidR="00BE6ABF" w:rsidRPr="0018475F" w:rsidRDefault="00BE6ABF" w:rsidP="00BE6ABF">
      <w:pPr>
        <w:pStyle w:val="BodyText"/>
        <w:rPr>
          <w:lang w:val="sk"/>
        </w:rPr>
      </w:pPr>
      <w:r w:rsidRPr="0018475F">
        <w:rPr>
          <w:lang w:val="sk"/>
        </w:rPr>
        <w:t>Nasledujúce reagencie a materiály môžu byť potrebné na farbenie, nie sú však súčasťou dodávky:</w:t>
      </w:r>
    </w:p>
    <w:p w14:paraId="2578F27C" w14:textId="77777777" w:rsidR="00BE6ABF" w:rsidRPr="0018475F" w:rsidRDefault="00BE6ABF" w:rsidP="00BE6ABF">
      <w:pPr>
        <w:pStyle w:val="StepOne"/>
      </w:pPr>
      <w:r w:rsidRPr="0018475F">
        <w:rPr>
          <w:lang w:val="sk"/>
        </w:rPr>
        <w:t xml:space="preserve">Odporúčané kontrolné tkanivo </w:t>
      </w:r>
    </w:p>
    <w:p w14:paraId="2BFB4ACD" w14:textId="77777777" w:rsidR="00BE6ABF" w:rsidRPr="0018475F" w:rsidRDefault="00BE6ABF" w:rsidP="00BE6ABF">
      <w:pPr>
        <w:pStyle w:val="StepOne"/>
      </w:pPr>
      <w:r w:rsidRPr="0018475F">
        <w:rPr>
          <w:lang w:val="sk"/>
        </w:rPr>
        <w:t xml:space="preserve">Kladne nabité mikroskopické sklíčka </w:t>
      </w:r>
    </w:p>
    <w:p w14:paraId="62716673" w14:textId="77777777" w:rsidR="00BE6ABF" w:rsidRPr="0018475F" w:rsidRDefault="00BE6ABF" w:rsidP="00BE6ABF">
      <w:pPr>
        <w:pStyle w:val="StepOne"/>
      </w:pPr>
      <w:r w:rsidRPr="0018475F">
        <w:rPr>
          <w:lang w:val="sk"/>
        </w:rPr>
        <w:t>CONFIRM Negative Control Rabbit Ig (kat. č. 760-1029 / 05266238001)</w:t>
      </w:r>
    </w:p>
    <w:p w14:paraId="33742AA9" w14:textId="77777777" w:rsidR="00BE6ABF" w:rsidRPr="0018475F" w:rsidRDefault="00BE6ABF" w:rsidP="00BE6ABF">
      <w:pPr>
        <w:pStyle w:val="StepOne"/>
      </w:pPr>
      <w:r w:rsidRPr="0018475F">
        <w:rPr>
          <w:lang w:val="sk"/>
        </w:rPr>
        <w:t>VENTANA Antibody Diluent with Casein (kat. č. 760-219 / 06440002001)</w:t>
      </w:r>
    </w:p>
    <w:p w14:paraId="0A9569EB" w14:textId="77777777" w:rsidR="00BE6ABF" w:rsidRPr="0018475F" w:rsidRDefault="00BE6ABF" w:rsidP="00BE6ABF">
      <w:pPr>
        <w:pStyle w:val="StepOne"/>
      </w:pPr>
      <w:r w:rsidRPr="0018475F">
        <w:rPr>
          <w:lang w:val="sk"/>
        </w:rPr>
        <w:t>OptiView DAB IHC Detection Kit (kat. č. 760-700 / 06396500001)</w:t>
      </w:r>
    </w:p>
    <w:p w14:paraId="210D0BA7" w14:textId="77777777" w:rsidR="00BE6ABF" w:rsidRPr="0018475F" w:rsidRDefault="00BE6ABF" w:rsidP="00BE6ABF">
      <w:pPr>
        <w:pStyle w:val="StepOne"/>
      </w:pPr>
      <w:r w:rsidRPr="0018475F">
        <w:rPr>
          <w:rStyle w:val="ultraView"/>
          <w:lang w:val="sk"/>
        </w:rPr>
        <w:t>ultra</w:t>
      </w:r>
      <w:r w:rsidRPr="0018475F">
        <w:rPr>
          <w:lang w:val="sk"/>
        </w:rPr>
        <w:t>View Universal DAB Detection Kit (kat. č. 760-500 / 05269806001)</w:t>
      </w:r>
    </w:p>
    <w:p w14:paraId="0C84D0C0" w14:textId="77777777" w:rsidR="00BE6ABF" w:rsidRPr="0018475F" w:rsidRDefault="00BE6ABF" w:rsidP="00BE6ABF">
      <w:pPr>
        <w:pStyle w:val="StepOne"/>
      </w:pPr>
      <w:r w:rsidRPr="0018475F">
        <w:rPr>
          <w:rStyle w:val="ultraView"/>
          <w:lang w:val="sk"/>
        </w:rPr>
        <w:t>ultra</w:t>
      </w:r>
      <w:r w:rsidRPr="0018475F">
        <w:rPr>
          <w:lang w:val="sk"/>
        </w:rPr>
        <w:t>View Universal Alkaline Phosphatase Red Detection Kit (kat. č. 760-501 / 05269814001)</w:t>
      </w:r>
    </w:p>
    <w:p w14:paraId="5E490960" w14:textId="77777777" w:rsidR="00BE6ABF" w:rsidRPr="0018475F" w:rsidRDefault="00BE6ABF" w:rsidP="00BE6ABF">
      <w:pPr>
        <w:pStyle w:val="StepOne"/>
      </w:pPr>
      <w:r w:rsidRPr="0018475F">
        <w:rPr>
          <w:lang w:val="sk"/>
        </w:rPr>
        <w:t xml:space="preserve">EZ Prep Concentrate (10X) (kat. č. 950-102 / 05279771001) </w:t>
      </w:r>
    </w:p>
    <w:p w14:paraId="32F9877C" w14:textId="77777777" w:rsidR="00BE6ABF" w:rsidRPr="0018475F" w:rsidRDefault="00BE6ABF" w:rsidP="00BE6ABF">
      <w:pPr>
        <w:pStyle w:val="StepOne"/>
      </w:pPr>
      <w:r w:rsidRPr="0018475F">
        <w:rPr>
          <w:lang w:val="sk"/>
        </w:rPr>
        <w:t xml:space="preserve">Reaction Buffer Concentrate (10X) (kat. č. 950-300 / 05353955001) </w:t>
      </w:r>
    </w:p>
    <w:p w14:paraId="29CF7132" w14:textId="77777777" w:rsidR="00BE6ABF" w:rsidRPr="0018475F" w:rsidRDefault="00BE6ABF" w:rsidP="00BE6ABF">
      <w:pPr>
        <w:pStyle w:val="StepOne"/>
      </w:pPr>
      <w:r w:rsidRPr="0018475F">
        <w:rPr>
          <w:lang w:val="sk"/>
        </w:rPr>
        <w:t>LCS (Predilute) (kat. č. 650-010 / 05264839001)</w:t>
      </w:r>
    </w:p>
    <w:p w14:paraId="16365A24" w14:textId="77777777" w:rsidR="00BE6ABF" w:rsidRPr="0018475F" w:rsidRDefault="00BE6ABF" w:rsidP="00BE6ABF">
      <w:pPr>
        <w:pStyle w:val="StepOne"/>
        <w:rPr>
          <w:lang w:val="es-AR"/>
        </w:rPr>
      </w:pPr>
      <w:r w:rsidRPr="0018475F">
        <w:rPr>
          <w:lang w:val="sk"/>
        </w:rPr>
        <w:t>ULTRA LCS (Predilute) (kat. č. 650-210 / 05424534001)</w:t>
      </w:r>
    </w:p>
    <w:p w14:paraId="3E2CDBCA" w14:textId="77777777" w:rsidR="00BE6ABF" w:rsidRPr="0018475F" w:rsidRDefault="00BE6ABF" w:rsidP="00BE6ABF">
      <w:pPr>
        <w:pStyle w:val="StepOne"/>
      </w:pPr>
      <w:r w:rsidRPr="0018475F">
        <w:rPr>
          <w:lang w:val="sk"/>
        </w:rPr>
        <w:t>Cell Conditioning Solution (CC1) (kat. č. 950-124 / 05279801001)</w:t>
      </w:r>
    </w:p>
    <w:p w14:paraId="59F89D83" w14:textId="77777777" w:rsidR="00BE6ABF" w:rsidRPr="0018475F" w:rsidRDefault="00BE6ABF" w:rsidP="00BE6ABF">
      <w:pPr>
        <w:pStyle w:val="StepOne"/>
      </w:pPr>
      <w:r w:rsidRPr="0018475F">
        <w:rPr>
          <w:lang w:val="sk"/>
        </w:rPr>
        <w:t>ULTRA Cell Conditioning Solution (ULTRA CC1) (kat. č. 950-224 / 05424569001)</w:t>
      </w:r>
    </w:p>
    <w:p w14:paraId="31BF8F38" w14:textId="77777777" w:rsidR="00BE6ABF" w:rsidRPr="0018475F" w:rsidRDefault="00BE6ABF" w:rsidP="00BE6ABF">
      <w:pPr>
        <w:pStyle w:val="StepOne"/>
      </w:pPr>
      <w:r w:rsidRPr="0018475F">
        <w:rPr>
          <w:lang w:val="sk"/>
        </w:rPr>
        <w:t>Hematoxylin II (kat. č. 790-2208 / 05277965001)</w:t>
      </w:r>
    </w:p>
    <w:p w14:paraId="1CE62F03" w14:textId="77777777" w:rsidR="00BE6ABF" w:rsidRPr="0018475F" w:rsidRDefault="00BE6ABF" w:rsidP="00BE6ABF">
      <w:pPr>
        <w:pStyle w:val="StepOne"/>
      </w:pPr>
      <w:r w:rsidRPr="0018475F">
        <w:rPr>
          <w:lang w:val="sk"/>
        </w:rPr>
        <w:t>Bluing Reagent (kat. č. 760-2037 / 05266769001)</w:t>
      </w:r>
    </w:p>
    <w:p w14:paraId="45A64D7F" w14:textId="77777777" w:rsidR="00BE6ABF" w:rsidRPr="0018475F" w:rsidRDefault="00BE6ABF" w:rsidP="00BE6ABF">
      <w:pPr>
        <w:pStyle w:val="StepOne"/>
      </w:pPr>
      <w:r w:rsidRPr="0018475F">
        <w:rPr>
          <w:lang w:val="sk"/>
        </w:rPr>
        <w:t xml:space="preserve">Permanentné montážne médium </w:t>
      </w:r>
    </w:p>
    <w:p w14:paraId="17F7DEF3" w14:textId="77777777" w:rsidR="00BE6ABF" w:rsidRPr="0018475F" w:rsidRDefault="00BE6ABF" w:rsidP="00BE6ABF">
      <w:pPr>
        <w:pStyle w:val="StepOne"/>
      </w:pPr>
      <w:r w:rsidRPr="0018475F">
        <w:rPr>
          <w:lang w:val="sk"/>
        </w:rPr>
        <w:t xml:space="preserve">Krycie sklíčko </w:t>
      </w:r>
    </w:p>
    <w:p w14:paraId="1B30D3A4" w14:textId="77777777" w:rsidR="00BE6ABF" w:rsidRPr="0018475F" w:rsidRDefault="00BE6ABF" w:rsidP="00BE6ABF">
      <w:pPr>
        <w:pStyle w:val="StepOne"/>
      </w:pPr>
      <w:r w:rsidRPr="0018475F">
        <w:rPr>
          <w:lang w:val="sk"/>
        </w:rPr>
        <w:t xml:space="preserve">Automat na krycie sklíčka </w:t>
      </w:r>
    </w:p>
    <w:p w14:paraId="3B33F95E" w14:textId="77777777" w:rsidR="00BE6ABF" w:rsidRPr="0018475F" w:rsidRDefault="00BE6ABF" w:rsidP="00BE6ABF">
      <w:pPr>
        <w:pStyle w:val="StepOne"/>
      </w:pPr>
      <w:r w:rsidRPr="0018475F">
        <w:rPr>
          <w:lang w:val="sk"/>
        </w:rPr>
        <w:t>Univerzálne laboratórne vybavenie</w:t>
      </w:r>
    </w:p>
    <w:p w14:paraId="53F26D3B" w14:textId="77777777" w:rsidR="00BE6ABF" w:rsidRPr="0018475F" w:rsidRDefault="00BE6ABF" w:rsidP="00BE6ABF">
      <w:pPr>
        <w:pStyle w:val="StepOne"/>
      </w:pPr>
      <w:r w:rsidRPr="0018475F">
        <w:rPr>
          <w:lang w:val="sk"/>
        </w:rPr>
        <w:t>Prístroj BenchMark IHC/ISH</w:t>
      </w:r>
    </w:p>
    <w:p w14:paraId="1655415C" w14:textId="77777777" w:rsidR="00BE6ABF" w:rsidRPr="0018475F" w:rsidRDefault="00BE6ABF" w:rsidP="00BE6ABF">
      <w:pPr>
        <w:pStyle w:val="Heading1"/>
      </w:pPr>
      <w:r w:rsidRPr="0018475F">
        <w:rPr>
          <w:bCs/>
          <w:lang w:val="sk"/>
        </w:rPr>
        <w:t>Skladovanie a stabilita</w:t>
      </w:r>
    </w:p>
    <w:p w14:paraId="5FB9207D" w14:textId="77777777" w:rsidR="00BE6ABF" w:rsidRPr="0018475F" w:rsidRDefault="00BE6ABF" w:rsidP="00BE6ABF">
      <w:pPr>
        <w:pStyle w:val="BodyText"/>
      </w:pPr>
      <w:r w:rsidRPr="0018475F">
        <w:rPr>
          <w:lang w:val="sk"/>
        </w:rPr>
        <w:t>Po prijatí a vtedy, keď sa nepoužíva, skladujte pri teplote 2 – 8 °C. Nezmrazujte.</w:t>
      </w:r>
    </w:p>
    <w:p w14:paraId="5C2052D8" w14:textId="77777777" w:rsidR="00BE6ABF" w:rsidRPr="0018475F" w:rsidRDefault="00BE6ABF" w:rsidP="00BE6ABF">
      <w:pPr>
        <w:pStyle w:val="BodyText"/>
      </w:pPr>
      <w:r w:rsidRPr="0018475F">
        <w:rPr>
          <w:lang w:val="sk"/>
        </w:rPr>
        <w:t>Po každom použití je nutné opätovne nasadiť uzáver dávkovača a dávkovač hneď vložiť do chladničky vo zvislej polohe, aby ste zaistili správnu dodávku reagencie a stabilitu protilátky.</w:t>
      </w:r>
    </w:p>
    <w:p w14:paraId="5F1716D6" w14:textId="77777777" w:rsidR="00BE6ABF" w:rsidRPr="0018475F" w:rsidRDefault="00BE6ABF" w:rsidP="00BE6ABF">
      <w:pPr>
        <w:pStyle w:val="BodyText"/>
        <w:rPr>
          <w:lang w:val="sk"/>
        </w:rPr>
      </w:pPr>
      <w:r w:rsidRPr="0018475F">
        <w:rPr>
          <w:lang w:val="sk"/>
        </w:rPr>
        <w:t>Každý dávkovač protilátky má dátum exspirácie. Ak sa reagencia správne skladuje, zachováva si svoje vlastnosti až do dátumu uvedeného na štítku. Nepoužívajte reagenciu po dátume exspirácie.</w:t>
      </w:r>
    </w:p>
    <w:p w14:paraId="13D3FEF0" w14:textId="77777777" w:rsidR="00BE6ABF" w:rsidRPr="0018475F" w:rsidRDefault="00BE6ABF" w:rsidP="00BE6ABF">
      <w:pPr>
        <w:pStyle w:val="Heading1"/>
        <w:rPr>
          <w:lang w:val="sk"/>
        </w:rPr>
      </w:pPr>
      <w:r w:rsidRPr="0018475F">
        <w:rPr>
          <w:bCs/>
          <w:lang w:val="sk"/>
        </w:rPr>
        <w:t>Príprava vzoriek</w:t>
      </w:r>
    </w:p>
    <w:p w14:paraId="46E805F1" w14:textId="77777777" w:rsidR="00BE6ABF" w:rsidRPr="0018475F" w:rsidRDefault="00BE6ABF" w:rsidP="00BE6ABF">
      <w:pPr>
        <w:pStyle w:val="BodyText"/>
        <w:rPr>
          <w:lang w:val="sk"/>
        </w:rPr>
      </w:pPr>
      <w:r w:rsidRPr="0018475F">
        <w:rPr>
          <w:lang w:val="sk"/>
        </w:rPr>
        <w:t>Bežne spracované FFPE tkanivá sú vhodné na použitie s touto primárnou protilátkou, ak sa použijú spolu s detekčnými súpravami VENTANA a automatizovanými prístrojmi série BenchMark IHC/ISH. Odporúčané činidlo na fixáciu tkaniva je 10 % neutrálny pufrovaný formalín.</w:t>
      </w:r>
      <w:r w:rsidRPr="0018475F">
        <w:rPr>
          <w:rStyle w:val="Reference"/>
          <w:lang w:val="sk"/>
        </w:rPr>
        <w:t>4</w:t>
      </w:r>
      <w:r w:rsidRPr="0018475F">
        <w:rPr>
          <w:lang w:val="sk"/>
        </w:rPr>
        <w:t xml:space="preserve"> Rezy majú byť približne 4 µm hrubé a položené na kladne nabité sklíčka. Sklíčka sa majú farbiť okamžite, pretože antigénnosť narezaných tkanivových rezov sa môže časom znížiť. Požiadajte zástupcu spoločnosti Roche o kópiu dokumentu „Recommended Slide Storage and Handling“, v ktorom nájdete ďalšie informácie.</w:t>
      </w:r>
    </w:p>
    <w:p w14:paraId="4E38D6B3" w14:textId="77777777" w:rsidR="00BE6ABF" w:rsidRPr="0018475F" w:rsidRDefault="00BE6ABF" w:rsidP="00BE6ABF">
      <w:pPr>
        <w:pStyle w:val="BodyText"/>
        <w:rPr>
          <w:lang w:val="sk"/>
        </w:rPr>
      </w:pPr>
      <w:r w:rsidRPr="0018475F">
        <w:rPr>
          <w:lang w:val="sk"/>
        </w:rPr>
        <w:t xml:space="preserve">Odporúčame spracovať pozitívnu a negatívnu kontrolu súčasne s neznámymi vzorkami. </w:t>
      </w:r>
    </w:p>
    <w:p w14:paraId="75917D4C" w14:textId="77777777" w:rsidR="00BE6ABF" w:rsidRPr="0018475F" w:rsidRDefault="00BE6ABF" w:rsidP="00BE6ABF">
      <w:pPr>
        <w:pStyle w:val="Heading1"/>
      </w:pPr>
      <w:r w:rsidRPr="0018475F">
        <w:rPr>
          <w:bCs/>
          <w:lang w:val="sk"/>
        </w:rPr>
        <w:t>Varovania a bezpečnostné opatrenia</w:t>
      </w:r>
    </w:p>
    <w:p w14:paraId="6980B881" w14:textId="77777777" w:rsidR="00BE6ABF" w:rsidRPr="0018475F" w:rsidRDefault="00BE6ABF" w:rsidP="00604B2F">
      <w:pPr>
        <w:pStyle w:val="StepOne"/>
        <w:numPr>
          <w:ilvl w:val="0"/>
          <w:numId w:val="38"/>
        </w:numPr>
        <w:rPr>
          <w:lang w:val="es-AR"/>
        </w:rPr>
      </w:pPr>
      <w:bookmarkStart w:id="0" w:name="_Ref274811353"/>
      <w:r w:rsidRPr="0018475F">
        <w:rPr>
          <w:lang w:val="sk"/>
        </w:rPr>
        <w:t>Určené na diagnostické použitie in vitro (IVD).</w:t>
      </w:r>
      <w:bookmarkEnd w:id="0"/>
    </w:p>
    <w:p w14:paraId="0A331C49" w14:textId="77777777" w:rsidR="00BE6ABF" w:rsidRPr="0018475F" w:rsidRDefault="00BE6ABF" w:rsidP="00BE6ABF">
      <w:pPr>
        <w:pStyle w:val="StepOne"/>
      </w:pPr>
      <w:r w:rsidRPr="0018475F">
        <w:rPr>
          <w:lang w:val="sk"/>
        </w:rPr>
        <w:t>Určené len pre odborníkov.</w:t>
      </w:r>
    </w:p>
    <w:p w14:paraId="65D0D3D1" w14:textId="77777777" w:rsidR="00BE6ABF" w:rsidRPr="0018475F" w:rsidRDefault="00BE6ABF" w:rsidP="00BE6ABF">
      <w:pPr>
        <w:pStyle w:val="StepOne"/>
        <w:rPr>
          <w:lang w:val="es-AR"/>
        </w:rPr>
      </w:pPr>
      <w:r w:rsidRPr="0018475F">
        <w:rPr>
          <w:lang w:val="sk"/>
        </w:rPr>
        <w:t>Nepoužívajte po vykonaní stanoveného počtu testov.</w:t>
      </w:r>
    </w:p>
    <w:p w14:paraId="175AD4B7" w14:textId="77777777" w:rsidR="00BE6ABF" w:rsidRPr="0018475F" w:rsidRDefault="00BE6ABF" w:rsidP="00BE6ABF">
      <w:pPr>
        <w:pStyle w:val="StepOne"/>
      </w:pPr>
      <w:r w:rsidRPr="0018475F">
        <w:rPr>
          <w:lang w:val="sk"/>
        </w:rPr>
        <w:t xml:space="preserve">Roztok ProClin 300 sa používa ako konzervačná látka v tejto reagencii. Táto látka je zaradená ako dráždivá látka a pri kontakte s kožou môže spôsobiť senzibilizáciu. Pri manipulácii dodržiavajte primerané bezpečnostné opatrenia. Zabráňte kontaktu reagencií s očami, kožou a so sliznicami. Používajte ochranný odev a rukavice. </w:t>
      </w:r>
    </w:p>
    <w:p w14:paraId="129F3784" w14:textId="77777777" w:rsidR="00BE6ABF" w:rsidRPr="0018475F" w:rsidRDefault="00BE6ABF" w:rsidP="00BE6ABF">
      <w:pPr>
        <w:pStyle w:val="StepOne"/>
        <w:rPr>
          <w:lang w:val="sk"/>
        </w:rPr>
      </w:pPr>
      <w:r w:rsidRPr="0018475F">
        <w:rPr>
          <w:lang w:val="sk"/>
        </w:rPr>
        <w:lastRenderedPageBreak/>
        <w:t>Kladne nabité sklíčka môžu byť citlivé na vplyvy okolitého prostredia, čo vedie k nevhodnému farbeniu. O ďalšie informácie o tom, ako používať tieto typy sklíčok, požiadajte zástupcu spoločnosti Roche.</w:t>
      </w:r>
    </w:p>
    <w:p w14:paraId="01217DED" w14:textId="77777777" w:rsidR="00BE6ABF" w:rsidRPr="0018475F" w:rsidRDefault="00BE6ABF" w:rsidP="00BE6ABF">
      <w:pPr>
        <w:pStyle w:val="StepOne"/>
        <w:rPr>
          <w:lang w:val="sk"/>
        </w:rPr>
      </w:pPr>
      <w:r w:rsidRPr="0018475F">
        <w:rPr>
          <w:lang w:val="sk"/>
        </w:rPr>
        <w:t>S materiálmi ľudského alebo živočíšneho pôvodu je potrebné zaobchádzať ako s biologicky nebezpečným materiálom a ich likvidácia musí zahŕňať náležité bezpečnostné opatrenia. V prípade expozície je potrebné dodržiavať zdravotné pokyny zodpovedných orgánov.</w:t>
      </w:r>
      <w:r w:rsidRPr="0018475F">
        <w:rPr>
          <w:rStyle w:val="Reference"/>
          <w:lang w:val="sk"/>
        </w:rPr>
        <w:t>5,6</w:t>
      </w:r>
    </w:p>
    <w:p w14:paraId="7CE89EB2" w14:textId="77777777" w:rsidR="00BE6ABF" w:rsidRPr="0018475F" w:rsidRDefault="00BE6ABF" w:rsidP="00BE6ABF">
      <w:pPr>
        <w:pStyle w:val="StepOne"/>
        <w:rPr>
          <w:lang w:val="sk"/>
        </w:rPr>
      </w:pPr>
      <w:r w:rsidRPr="0018475F">
        <w:rPr>
          <w:lang w:val="sk"/>
        </w:rPr>
        <w:t>Zabráňte kontaktu činidiel s očami a sliznicami. Ak sa činidlá dostanú do kontaktu s citlivými oblasťami, zmyte ich veľkým množstvom vody.</w:t>
      </w:r>
    </w:p>
    <w:p w14:paraId="031D1C50" w14:textId="77777777" w:rsidR="00BE6ABF" w:rsidRPr="0018475F" w:rsidRDefault="00BE6ABF" w:rsidP="00BE6ABF">
      <w:pPr>
        <w:pStyle w:val="StepOne"/>
        <w:rPr>
          <w:lang w:val="sk"/>
        </w:rPr>
      </w:pPr>
      <w:r w:rsidRPr="0018475F">
        <w:rPr>
          <w:lang w:val="sk"/>
        </w:rPr>
        <w:t xml:space="preserve">Zabráňte mikrobiálnej kontaminácii činidiel, pretože to môže spôsobiť nesprávne výsledky. </w:t>
      </w:r>
    </w:p>
    <w:p w14:paraId="0ED3DBA4" w14:textId="77777777" w:rsidR="00BE6ABF" w:rsidRPr="0018475F" w:rsidRDefault="00BE6ABF" w:rsidP="00BE6ABF">
      <w:pPr>
        <w:pStyle w:val="StepOne"/>
        <w:rPr>
          <w:lang w:val="sk"/>
        </w:rPr>
      </w:pPr>
      <w:r w:rsidRPr="0018475F">
        <w:rPr>
          <w:lang w:val="sk"/>
        </w:rPr>
        <w:t xml:space="preserve">Ďalšie informácie o používaní tejto pomôcky nájdete v používateľskej príručke k prístroju BenchMark IHC/ISH a v návodoch na použitie všetkých potrebných komponentov na stránke </w:t>
      </w:r>
      <w:hyperlink r:id="rId13" w:history="1">
        <w:r w:rsidRPr="0018475F">
          <w:rPr>
            <w:rStyle w:val="Hyperlink"/>
            <w:lang w:val="sk"/>
          </w:rPr>
          <w:t>navifyportal.roche.com</w:t>
        </w:r>
      </w:hyperlink>
      <w:r w:rsidRPr="0018475F">
        <w:rPr>
          <w:lang w:val="sk"/>
        </w:rPr>
        <w:t>.</w:t>
      </w:r>
    </w:p>
    <w:p w14:paraId="709DED5B" w14:textId="77777777" w:rsidR="00BE6ABF" w:rsidRPr="0018475F" w:rsidRDefault="00BE6ABF" w:rsidP="00BE6ABF">
      <w:pPr>
        <w:pStyle w:val="StepOne"/>
        <w:rPr>
          <w:lang w:val="sk"/>
        </w:rPr>
      </w:pPr>
      <w:r w:rsidRPr="0018475F">
        <w:rPr>
          <w:lang w:val="sk"/>
        </w:rPr>
        <w:t>Informácie o odporúčanom spôsobe likvidácie získate od miestnych a/alebo štátnych orgánov.</w:t>
      </w:r>
    </w:p>
    <w:p w14:paraId="75A7B78A" w14:textId="77777777" w:rsidR="00BE6ABF" w:rsidRPr="0018475F" w:rsidRDefault="00BE6ABF" w:rsidP="00BE6ABF">
      <w:pPr>
        <w:pStyle w:val="StepOne"/>
      </w:pPr>
      <w:r w:rsidRPr="0018475F">
        <w:rPr>
          <w:lang w:val="sk"/>
        </w:rPr>
        <w:t>Označenie bezpečnosti produktov v prvom rade zodpovedá usmerneniu GHS EÚ. Na požiadanie možno profesionálnemu používateľovi poskytnúť kartu bezpečnostných údajov.</w:t>
      </w:r>
    </w:p>
    <w:p w14:paraId="3E391029" w14:textId="77777777" w:rsidR="00BE6ABF" w:rsidRPr="0018475F" w:rsidRDefault="00BE6ABF" w:rsidP="00BE6ABF">
      <w:pPr>
        <w:pStyle w:val="StepOne"/>
      </w:pPr>
      <w:r w:rsidRPr="0018475F">
        <w:rPr>
          <w:lang w:val="sk"/>
        </w:rPr>
        <w:t>Pri hlásení podozrenia na závažné incidenty spojené s touto pomôckou kontaktujte miestneho zástupcu spoločnosti Roche a kompetentný orgán členského štátu alebo krajiny, v ktorej má používateľ sídlo.</w:t>
      </w:r>
    </w:p>
    <w:p w14:paraId="2E2DC572" w14:textId="77777777" w:rsidR="00BE6ABF" w:rsidRPr="0018475F" w:rsidRDefault="00BE6ABF" w:rsidP="00BE6ABF">
      <w:pPr>
        <w:rPr>
          <w:lang w:val="es-AR"/>
        </w:rPr>
      </w:pPr>
      <w:r w:rsidRPr="0018475F">
        <w:rPr>
          <w:lang w:val="sk"/>
        </w:rPr>
        <w:t>Tento produkt obsahuje komponenty klasifikované v súlade s nariadením (ES) č. 1272/2008 takto:</w:t>
      </w:r>
    </w:p>
    <w:p w14:paraId="2CFC6402" w14:textId="77777777" w:rsidR="00BE6ABF" w:rsidRPr="0018475F" w:rsidRDefault="00BE6ABF" w:rsidP="009465B0">
      <w:pPr>
        <w:pStyle w:val="TableNumberAuto"/>
      </w:pPr>
      <w:r w:rsidRPr="0018475F">
        <w:rPr>
          <w:lang w:val="sk"/>
        </w:rPr>
        <w:t>Informácie o nebezpečnosti.</w:t>
      </w:r>
    </w:p>
    <w:tbl>
      <w:tblPr>
        <w:tblW w:w="5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0"/>
        <w:gridCol w:w="810"/>
        <w:gridCol w:w="3420"/>
      </w:tblGrid>
      <w:tr w:rsidR="00BE6ABF" w:rsidRPr="0018475F" w14:paraId="6FD600A6" w14:textId="77777777" w:rsidTr="00BE6ABF">
        <w:trPr>
          <w:trHeight w:val="181"/>
          <w:tblHeader/>
        </w:trPr>
        <w:tc>
          <w:tcPr>
            <w:tcW w:w="980" w:type="dxa"/>
            <w:shd w:val="pct25" w:color="auto" w:fill="auto"/>
            <w:vAlign w:val="center"/>
          </w:tcPr>
          <w:p w14:paraId="6995600A" w14:textId="77777777" w:rsidR="00BE6ABF" w:rsidRPr="0018475F" w:rsidRDefault="00BE6ABF" w:rsidP="00BE6ABF">
            <w:r w:rsidRPr="0018475F">
              <w:rPr>
                <w:lang w:val="sk"/>
              </w:rPr>
              <w:t>Nebezpečnosť</w:t>
            </w:r>
          </w:p>
        </w:tc>
        <w:tc>
          <w:tcPr>
            <w:tcW w:w="810" w:type="dxa"/>
            <w:shd w:val="pct25" w:color="auto" w:fill="auto"/>
          </w:tcPr>
          <w:p w14:paraId="22924C22" w14:textId="77777777" w:rsidR="00BE6ABF" w:rsidRPr="0018475F" w:rsidRDefault="00BE6ABF" w:rsidP="00BE6ABF">
            <w:r w:rsidRPr="0018475F">
              <w:rPr>
                <w:lang w:val="sk"/>
              </w:rPr>
              <w:t>Kód</w:t>
            </w:r>
          </w:p>
        </w:tc>
        <w:tc>
          <w:tcPr>
            <w:tcW w:w="3420" w:type="dxa"/>
            <w:shd w:val="pct25" w:color="auto" w:fill="auto"/>
          </w:tcPr>
          <w:p w14:paraId="617F686D" w14:textId="77777777" w:rsidR="00BE6ABF" w:rsidRPr="0018475F" w:rsidRDefault="00BE6ABF" w:rsidP="00BE6ABF">
            <w:r w:rsidRPr="0018475F">
              <w:rPr>
                <w:lang w:val="sk"/>
              </w:rPr>
              <w:t>Upozornenie</w:t>
            </w:r>
          </w:p>
        </w:tc>
      </w:tr>
      <w:tr w:rsidR="00BE6ABF" w:rsidRPr="0018475F" w14:paraId="6AD8ACC0" w14:textId="77777777" w:rsidTr="00BE6ABF">
        <w:tc>
          <w:tcPr>
            <w:tcW w:w="980" w:type="dxa"/>
            <w:vMerge w:val="restart"/>
          </w:tcPr>
          <w:p w14:paraId="7FE3E573" w14:textId="77777777" w:rsidR="00BE6ABF" w:rsidRPr="0018475F" w:rsidRDefault="00BE6ABF" w:rsidP="00BE6ABF">
            <w:pPr>
              <w:pStyle w:val="TableHeadingCenter"/>
            </w:pPr>
            <w:r w:rsidRPr="0018475F">
              <w:rPr>
                <w:bCs/>
                <w:lang w:val="sk"/>
              </w:rPr>
              <w:t>Výstraha</w:t>
            </w:r>
          </w:p>
          <w:p w14:paraId="64E66470" w14:textId="77777777" w:rsidR="00BE6ABF" w:rsidRPr="0018475F" w:rsidRDefault="00BE6ABF" w:rsidP="00BE6ABF">
            <w:r w:rsidRPr="0018475F">
              <w:rPr>
                <w:noProof/>
                <w:lang w:val="sk"/>
              </w:rPr>
              <w:drawing>
                <wp:inline distT="0" distB="0" distL="0" distR="0" wp14:anchorId="180370EB" wp14:editId="570FA509">
                  <wp:extent cx="361950" cy="361950"/>
                  <wp:effectExtent l="76200" t="76200" r="76200" b="76200"/>
                  <wp:docPr id="22" name="Picture 22" descr="C:\Users\hicksonb\Desktop\GHS symbols\small red tiffs\excla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cksonb\Desktop\GHS symbols\small red tiffs\exclam.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8900000">
                            <a:off x="0" y="0"/>
                            <a:ext cx="361950" cy="361950"/>
                          </a:xfrm>
                          <a:prstGeom prst="rect">
                            <a:avLst/>
                          </a:prstGeom>
                          <a:noFill/>
                          <a:ln>
                            <a:noFill/>
                          </a:ln>
                        </pic:spPr>
                      </pic:pic>
                    </a:graphicData>
                  </a:graphic>
                </wp:inline>
              </w:drawing>
            </w:r>
          </w:p>
          <w:p w14:paraId="75A7F9AC" w14:textId="77777777" w:rsidR="00BE6ABF" w:rsidRPr="0018475F" w:rsidRDefault="00BE6ABF" w:rsidP="00BE6ABF"/>
        </w:tc>
        <w:tc>
          <w:tcPr>
            <w:tcW w:w="810" w:type="dxa"/>
            <w:vAlign w:val="center"/>
          </w:tcPr>
          <w:p w14:paraId="48222548" w14:textId="77777777" w:rsidR="00BE6ABF" w:rsidRPr="0018475F" w:rsidRDefault="00BE6ABF" w:rsidP="00BE6ABF">
            <w:r w:rsidRPr="0018475F">
              <w:rPr>
                <w:lang w:val="sk"/>
              </w:rPr>
              <w:t>H317</w:t>
            </w:r>
          </w:p>
        </w:tc>
        <w:tc>
          <w:tcPr>
            <w:tcW w:w="3420" w:type="dxa"/>
            <w:vAlign w:val="center"/>
          </w:tcPr>
          <w:p w14:paraId="60FD2747" w14:textId="77777777" w:rsidR="00BE6ABF" w:rsidRPr="0018475F" w:rsidRDefault="00BE6ABF" w:rsidP="00BE6ABF">
            <w:r w:rsidRPr="0018475F">
              <w:rPr>
                <w:lang w:val="sk"/>
              </w:rPr>
              <w:t>Môže vyvolať alergickú kožnú reakciu.</w:t>
            </w:r>
          </w:p>
        </w:tc>
      </w:tr>
      <w:tr w:rsidR="00BE6ABF" w:rsidRPr="0018475F" w14:paraId="7723D823" w14:textId="77777777" w:rsidTr="00BE6ABF">
        <w:tc>
          <w:tcPr>
            <w:tcW w:w="980" w:type="dxa"/>
            <w:vMerge/>
          </w:tcPr>
          <w:p w14:paraId="1568396A" w14:textId="77777777" w:rsidR="00BE6ABF" w:rsidRPr="0018475F" w:rsidRDefault="00BE6ABF" w:rsidP="00BE6ABF"/>
        </w:tc>
        <w:tc>
          <w:tcPr>
            <w:tcW w:w="810" w:type="dxa"/>
            <w:vAlign w:val="center"/>
          </w:tcPr>
          <w:p w14:paraId="5A6F4E21" w14:textId="77777777" w:rsidR="00BE6ABF" w:rsidRPr="0018475F" w:rsidRDefault="00BE6ABF" w:rsidP="00BE6ABF">
            <w:r w:rsidRPr="0018475F">
              <w:rPr>
                <w:lang w:val="sk"/>
              </w:rPr>
              <w:t>P261</w:t>
            </w:r>
          </w:p>
        </w:tc>
        <w:tc>
          <w:tcPr>
            <w:tcW w:w="3420" w:type="dxa"/>
            <w:vAlign w:val="center"/>
          </w:tcPr>
          <w:p w14:paraId="7B1531C9" w14:textId="77777777" w:rsidR="00BE6ABF" w:rsidRPr="0018475F" w:rsidRDefault="00BE6ABF">
            <w:r w:rsidRPr="0018475F">
              <w:rPr>
                <w:lang w:val="sk"/>
              </w:rPr>
              <w:t>Zabráňte vdychovaniu hmly alebo pár.</w:t>
            </w:r>
          </w:p>
        </w:tc>
      </w:tr>
      <w:tr w:rsidR="00BE6ABF" w:rsidRPr="0018475F" w14:paraId="55845B6F" w14:textId="77777777" w:rsidTr="00BE6ABF">
        <w:tc>
          <w:tcPr>
            <w:tcW w:w="980" w:type="dxa"/>
            <w:vMerge/>
            <w:vAlign w:val="center"/>
          </w:tcPr>
          <w:p w14:paraId="3527BB1D" w14:textId="77777777" w:rsidR="00BE6ABF" w:rsidRPr="0018475F" w:rsidRDefault="00BE6ABF" w:rsidP="00BE6ABF"/>
        </w:tc>
        <w:tc>
          <w:tcPr>
            <w:tcW w:w="810" w:type="dxa"/>
            <w:vAlign w:val="center"/>
          </w:tcPr>
          <w:p w14:paraId="50421FE0" w14:textId="77777777" w:rsidR="00BE6ABF" w:rsidRPr="0018475F" w:rsidRDefault="00BE6ABF" w:rsidP="00BE6ABF">
            <w:r w:rsidRPr="0018475F">
              <w:rPr>
                <w:lang w:val="sk"/>
              </w:rPr>
              <w:t>P272</w:t>
            </w:r>
          </w:p>
        </w:tc>
        <w:tc>
          <w:tcPr>
            <w:tcW w:w="3420" w:type="dxa"/>
          </w:tcPr>
          <w:p w14:paraId="13CDB423" w14:textId="77777777" w:rsidR="00BE6ABF" w:rsidRPr="0018475F" w:rsidRDefault="00BE6ABF" w:rsidP="00BE6ABF">
            <w:r w:rsidRPr="0018475F">
              <w:rPr>
                <w:lang w:val="sk"/>
              </w:rPr>
              <w:t>Kontaminovaný pracovný odev nie je povolené používať mimo pracoviska.</w:t>
            </w:r>
          </w:p>
        </w:tc>
      </w:tr>
      <w:tr w:rsidR="00BE6ABF" w:rsidRPr="0018475F" w14:paraId="76A74787" w14:textId="77777777" w:rsidTr="00BE6ABF">
        <w:tc>
          <w:tcPr>
            <w:tcW w:w="980" w:type="dxa"/>
            <w:vMerge/>
            <w:vAlign w:val="center"/>
          </w:tcPr>
          <w:p w14:paraId="51B49E6B" w14:textId="77777777" w:rsidR="00BE6ABF" w:rsidRPr="0018475F" w:rsidRDefault="00BE6ABF" w:rsidP="00BE6ABF"/>
        </w:tc>
        <w:tc>
          <w:tcPr>
            <w:tcW w:w="810" w:type="dxa"/>
            <w:vAlign w:val="center"/>
          </w:tcPr>
          <w:p w14:paraId="192E5AB2" w14:textId="77777777" w:rsidR="00BE6ABF" w:rsidRPr="0018475F" w:rsidRDefault="00BE6ABF" w:rsidP="00BE6ABF">
            <w:r w:rsidRPr="0018475F">
              <w:rPr>
                <w:lang w:val="sk"/>
              </w:rPr>
              <w:t>P280</w:t>
            </w:r>
          </w:p>
        </w:tc>
        <w:tc>
          <w:tcPr>
            <w:tcW w:w="3420" w:type="dxa"/>
          </w:tcPr>
          <w:p w14:paraId="225A20C1" w14:textId="77777777" w:rsidR="00BE6ABF" w:rsidRPr="0018475F" w:rsidRDefault="00BE6ABF" w:rsidP="00BE6ABF">
            <w:r w:rsidRPr="0018475F">
              <w:rPr>
                <w:lang w:val="sk"/>
              </w:rPr>
              <w:t>Noste ochranné rukavice.</w:t>
            </w:r>
          </w:p>
        </w:tc>
      </w:tr>
      <w:tr w:rsidR="00BE6ABF" w:rsidRPr="0018475F" w14:paraId="6E6E2716" w14:textId="77777777" w:rsidTr="00BE6ABF">
        <w:tc>
          <w:tcPr>
            <w:tcW w:w="980" w:type="dxa"/>
            <w:vMerge/>
            <w:vAlign w:val="center"/>
          </w:tcPr>
          <w:p w14:paraId="0A7007D3" w14:textId="77777777" w:rsidR="00BE6ABF" w:rsidRPr="0018475F" w:rsidRDefault="00BE6ABF" w:rsidP="00BE6ABF"/>
        </w:tc>
        <w:tc>
          <w:tcPr>
            <w:tcW w:w="810" w:type="dxa"/>
            <w:vAlign w:val="center"/>
          </w:tcPr>
          <w:p w14:paraId="06E8CDD9" w14:textId="77777777" w:rsidR="00BE6ABF" w:rsidRPr="0018475F" w:rsidRDefault="00BE6ABF" w:rsidP="00BE6ABF">
            <w:r w:rsidRPr="0018475F">
              <w:rPr>
                <w:lang w:val="sk"/>
              </w:rPr>
              <w:t>P333 + P313</w:t>
            </w:r>
          </w:p>
        </w:tc>
        <w:tc>
          <w:tcPr>
            <w:tcW w:w="3420" w:type="dxa"/>
          </w:tcPr>
          <w:p w14:paraId="2C2DA70B" w14:textId="77777777" w:rsidR="00BE6ABF" w:rsidRPr="0018475F" w:rsidRDefault="00BE6ABF" w:rsidP="00BE6ABF">
            <w:r w:rsidRPr="0018475F">
              <w:rPr>
                <w:lang w:val="sk"/>
              </w:rPr>
              <w:t>Ak sa prejaví podráždenie kože alebo sa vytvoria vyrážky: Vyhľadajte lekársku pomoc/starostlivosť.</w:t>
            </w:r>
          </w:p>
        </w:tc>
      </w:tr>
      <w:tr w:rsidR="00BE6ABF" w:rsidRPr="0018475F" w14:paraId="25D7511C" w14:textId="77777777" w:rsidTr="00BE6ABF">
        <w:tc>
          <w:tcPr>
            <w:tcW w:w="980" w:type="dxa"/>
            <w:vMerge/>
            <w:vAlign w:val="center"/>
          </w:tcPr>
          <w:p w14:paraId="12DE6BE2" w14:textId="77777777" w:rsidR="00BE6ABF" w:rsidRPr="0018475F" w:rsidRDefault="00BE6ABF" w:rsidP="00BE6ABF"/>
        </w:tc>
        <w:tc>
          <w:tcPr>
            <w:tcW w:w="810" w:type="dxa"/>
            <w:vAlign w:val="center"/>
          </w:tcPr>
          <w:p w14:paraId="79DD7E5C" w14:textId="77777777" w:rsidR="00BE6ABF" w:rsidRPr="0018475F" w:rsidRDefault="00BE6ABF" w:rsidP="00BE6ABF">
            <w:r w:rsidRPr="0018475F">
              <w:rPr>
                <w:lang w:val="sk"/>
              </w:rPr>
              <w:t>P362 + P364</w:t>
            </w:r>
          </w:p>
        </w:tc>
        <w:tc>
          <w:tcPr>
            <w:tcW w:w="3420" w:type="dxa"/>
          </w:tcPr>
          <w:p w14:paraId="414597A4" w14:textId="77777777" w:rsidR="00BE6ABF" w:rsidRPr="0018475F" w:rsidRDefault="00BE6ABF" w:rsidP="00BE6ABF">
            <w:r w:rsidRPr="0018475F">
              <w:rPr>
                <w:lang w:val="sk"/>
              </w:rPr>
              <w:t>Kontaminovaný odev vyzlečte a pred ďalším použitím vyperte.</w:t>
            </w:r>
          </w:p>
        </w:tc>
      </w:tr>
      <w:tr w:rsidR="00BE6ABF" w:rsidRPr="0018475F" w14:paraId="6EFB11DB" w14:textId="77777777" w:rsidTr="00BE6ABF">
        <w:tc>
          <w:tcPr>
            <w:tcW w:w="980" w:type="dxa"/>
            <w:vMerge/>
            <w:vAlign w:val="center"/>
          </w:tcPr>
          <w:p w14:paraId="504F738A" w14:textId="77777777" w:rsidR="00BE6ABF" w:rsidRPr="0018475F" w:rsidRDefault="00BE6ABF" w:rsidP="00BE6ABF"/>
        </w:tc>
        <w:tc>
          <w:tcPr>
            <w:tcW w:w="810" w:type="dxa"/>
            <w:vAlign w:val="center"/>
          </w:tcPr>
          <w:p w14:paraId="13106335" w14:textId="77777777" w:rsidR="00BE6ABF" w:rsidRPr="0018475F" w:rsidRDefault="00BE6ABF" w:rsidP="00BE6ABF">
            <w:r w:rsidRPr="0018475F">
              <w:rPr>
                <w:lang w:val="sk"/>
              </w:rPr>
              <w:t>P501</w:t>
            </w:r>
          </w:p>
        </w:tc>
        <w:tc>
          <w:tcPr>
            <w:tcW w:w="3420" w:type="dxa"/>
          </w:tcPr>
          <w:p w14:paraId="76BA9535" w14:textId="77777777" w:rsidR="00BE6ABF" w:rsidRPr="0018475F" w:rsidRDefault="00BE6ABF" w:rsidP="00BE6ABF">
            <w:r w:rsidRPr="0018475F">
              <w:rPr>
                <w:lang w:val="sk"/>
              </w:rPr>
              <w:t>Zneškodnite obsah/nádobu v schválenom zariadení na likvidáciu odpadu.</w:t>
            </w:r>
          </w:p>
        </w:tc>
      </w:tr>
    </w:tbl>
    <w:p w14:paraId="30E8E549" w14:textId="77777777" w:rsidR="00BE6ABF" w:rsidRPr="0018475F" w:rsidRDefault="00BE6ABF" w:rsidP="00BE6ABF">
      <w:r w:rsidRPr="0018475F">
        <w:rPr>
          <w:lang w:val="sk"/>
        </w:rPr>
        <w:t xml:space="preserve">Tento produkt obsahuje CAS č. 55965-84-9, reakčnú zmes: 5-chloro-2-metyl-2H-izotiazol-3-ónu a 2-metyl-2H-izotiazol-3-ónu (3:1). </w:t>
      </w:r>
    </w:p>
    <w:p w14:paraId="71B0FC8E" w14:textId="77777777" w:rsidR="00BE6ABF" w:rsidRPr="0018475F" w:rsidRDefault="00BE6ABF" w:rsidP="00BE6ABF"/>
    <w:p w14:paraId="2DD5C807" w14:textId="77777777" w:rsidR="00BE6ABF" w:rsidRPr="0018475F" w:rsidRDefault="00BE6ABF" w:rsidP="00BE6ABF">
      <w:pPr>
        <w:pStyle w:val="Heading1"/>
      </w:pPr>
      <w:r w:rsidRPr="0018475F">
        <w:rPr>
          <w:bCs/>
          <w:lang w:val="sk"/>
        </w:rPr>
        <w:t>Postup farbenia</w:t>
      </w:r>
    </w:p>
    <w:p w14:paraId="7D677281" w14:textId="77777777" w:rsidR="00BE6ABF" w:rsidRPr="0018475F" w:rsidRDefault="00BE6ABF" w:rsidP="00BE6ABF">
      <w:pPr>
        <w:pStyle w:val="BodyText"/>
        <w:rPr>
          <w:lang w:val="sk"/>
        </w:rPr>
      </w:pPr>
      <w:r w:rsidRPr="0018475F">
        <w:rPr>
          <w:lang w:val="sk"/>
        </w:rPr>
        <w:t>Primárne protilátky VENTANA boli vyvinuté na použitie v prístrojoch BenchMark IHC/ISH v kombinácii s detekčnými súpravami VENTANA a príslušenstvom. Odporúčané protokoly farbenia sú uvedené v tabuľkách nižšie.</w:t>
      </w:r>
    </w:p>
    <w:p w14:paraId="04A0C763" w14:textId="77777777" w:rsidR="00BE6ABF" w:rsidRPr="0018475F" w:rsidRDefault="00BE6ABF" w:rsidP="00BE6ABF">
      <w:pPr>
        <w:pStyle w:val="BodyText"/>
        <w:rPr>
          <w:lang w:val="sk"/>
        </w:rPr>
      </w:pPr>
      <w:r w:rsidRPr="0018475F">
        <w:rPr>
          <w:lang w:val="sk"/>
        </w:rPr>
        <w:t>Táto protilátka je optimalizovaná na uvedené časy inkubácie, ale používateľ musí výsledky získané pomocou tejto reagencie overiť.</w:t>
      </w:r>
    </w:p>
    <w:p w14:paraId="270DD2A5" w14:textId="77777777" w:rsidR="00BE6ABF" w:rsidRPr="0018475F" w:rsidRDefault="00BE6ABF" w:rsidP="00BE6ABF">
      <w:pPr>
        <w:pStyle w:val="BodyText"/>
        <w:rPr>
          <w:lang w:val="sk"/>
        </w:rPr>
      </w:pPr>
      <w:r w:rsidRPr="0018475F">
        <w:rPr>
          <w:lang w:val="sk"/>
        </w:rPr>
        <w:t>Parametre automatizovaných postupov sa môžu zobraziť, tlačiť a editovať podľa postupu uvedeného v používateľskej príručke k prístroju. Podrobné informácie o postupoch farbenia v imunohistochémii nájdete v príslušnom metodickom liste k detekčnej súprave VENTANA.</w:t>
      </w:r>
      <w:bookmarkStart w:id="1" w:name="_Ref274811227"/>
    </w:p>
    <w:p w14:paraId="5856C7D3" w14:textId="77777777" w:rsidR="00BE6ABF" w:rsidRPr="0018475F" w:rsidRDefault="00BE6ABF" w:rsidP="00BE6ABF">
      <w:pPr>
        <w:pStyle w:val="BodyText"/>
        <w:rPr>
          <w:lang w:val="sk"/>
        </w:rPr>
      </w:pPr>
      <w:r w:rsidRPr="0018475F">
        <w:rPr>
          <w:lang w:val="sk"/>
        </w:rPr>
        <w:t>Ďalšie podrobnosti o správnom používaní tejto pomôcky nájdete v metodickom liste inline dávkovača spojenom s kat. č. 760-2523.</w:t>
      </w:r>
    </w:p>
    <w:p w14:paraId="143CD939" w14:textId="77777777" w:rsidR="00BE6ABF" w:rsidRPr="0018475F" w:rsidRDefault="00BE6ABF" w:rsidP="00BE6ABF">
      <w:pPr>
        <w:pStyle w:val="TableNumberAuto"/>
      </w:pPr>
      <w:bookmarkStart w:id="2" w:name="_Ref513455226"/>
      <w:bookmarkStart w:id="3" w:name="_Ref493666601"/>
      <w:r w:rsidRPr="0018475F">
        <w:rPr>
          <w:lang w:val="sk"/>
        </w:rPr>
        <w:br w:type="column"/>
      </w:r>
      <w:r w:rsidRPr="0018475F">
        <w:rPr>
          <w:lang w:val="sk"/>
        </w:rPr>
        <w:t xml:space="preserve">Odporúčaný protokol farbenia pre protilátku CONFIRM anti-S100 (Polyclonal) s detekčnou súpravou </w:t>
      </w:r>
      <w:bookmarkStart w:id="4" w:name="OLE_LINK5"/>
      <w:bookmarkStart w:id="5" w:name="OLE_LINK4"/>
      <w:r w:rsidRPr="0018475F">
        <w:rPr>
          <w:rStyle w:val="ultraView"/>
          <w:lang w:val="sk"/>
        </w:rPr>
        <w:t>ultra</w:t>
      </w:r>
      <w:r w:rsidRPr="0018475F">
        <w:rPr>
          <w:lang w:val="sk"/>
        </w:rPr>
        <w:t>View Universal DAB Detection Kit</w:t>
      </w:r>
      <w:bookmarkEnd w:id="4"/>
      <w:bookmarkEnd w:id="5"/>
      <w:r w:rsidRPr="0018475F">
        <w:rPr>
          <w:lang w:val="sk"/>
        </w:rPr>
        <w:t xml:space="preserve"> v prístrojoch BenchMark IHC/ISH.</w:t>
      </w:r>
      <w:bookmarkEnd w:id="2"/>
      <w:r w:rsidRPr="0018475F">
        <w:rPr>
          <w:lang w:val="sk"/>
        </w:rPr>
        <w:t xml:space="preserve"> </w:t>
      </w:r>
    </w:p>
    <w:tbl>
      <w:tblPr>
        <w:tblW w:w="5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22"/>
        <w:gridCol w:w="1788"/>
        <w:gridCol w:w="1803"/>
      </w:tblGrid>
      <w:tr w:rsidR="00BE6ABF" w:rsidRPr="0018475F" w14:paraId="796457EF" w14:textId="77777777" w:rsidTr="00BE6ABF">
        <w:trPr>
          <w:trHeight w:val="90"/>
          <w:tblHeader/>
        </w:trPr>
        <w:tc>
          <w:tcPr>
            <w:tcW w:w="1622" w:type="dxa"/>
            <w:vMerge w:val="restart"/>
            <w:shd w:val="clear" w:color="auto" w:fill="C0C0C0"/>
            <w:vAlign w:val="center"/>
          </w:tcPr>
          <w:bookmarkEnd w:id="1"/>
          <w:bookmarkEnd w:id="3"/>
          <w:p w14:paraId="7D6624F0" w14:textId="77777777" w:rsidR="00BE6ABF" w:rsidRPr="0018475F" w:rsidRDefault="00BE6ABF" w:rsidP="00BE6ABF">
            <w:pPr>
              <w:pStyle w:val="TableHeadingCenter"/>
            </w:pPr>
            <w:r w:rsidRPr="0018475F">
              <w:rPr>
                <w:bCs/>
                <w:lang w:val="sk"/>
              </w:rPr>
              <w:t>Typ postupu</w:t>
            </w:r>
          </w:p>
        </w:tc>
        <w:tc>
          <w:tcPr>
            <w:tcW w:w="3591" w:type="dxa"/>
            <w:gridSpan w:val="2"/>
            <w:shd w:val="clear" w:color="auto" w:fill="C0C0C0"/>
            <w:vAlign w:val="center"/>
          </w:tcPr>
          <w:p w14:paraId="52A40518" w14:textId="77777777" w:rsidR="00BE6ABF" w:rsidRPr="0018475F" w:rsidRDefault="00BE6ABF" w:rsidP="00BE6ABF">
            <w:pPr>
              <w:pStyle w:val="TableHeadingCenter"/>
            </w:pPr>
            <w:r w:rsidRPr="0018475F">
              <w:rPr>
                <w:bCs/>
                <w:lang w:val="sk"/>
              </w:rPr>
              <w:t>Metóda</w:t>
            </w:r>
          </w:p>
        </w:tc>
      </w:tr>
      <w:tr w:rsidR="00BE6ABF" w:rsidRPr="0018475F" w14:paraId="1B2FA798" w14:textId="77777777" w:rsidTr="00BE6ABF">
        <w:trPr>
          <w:trHeight w:val="90"/>
          <w:tblHeader/>
        </w:trPr>
        <w:tc>
          <w:tcPr>
            <w:tcW w:w="1622" w:type="dxa"/>
            <w:vMerge/>
            <w:shd w:val="clear" w:color="auto" w:fill="C0C0C0"/>
            <w:vAlign w:val="center"/>
          </w:tcPr>
          <w:p w14:paraId="198E7372" w14:textId="77777777" w:rsidR="00BE6ABF" w:rsidRPr="0018475F" w:rsidRDefault="00BE6ABF" w:rsidP="00BE6ABF">
            <w:pPr>
              <w:pStyle w:val="TableHeadingCenter"/>
            </w:pPr>
          </w:p>
        </w:tc>
        <w:tc>
          <w:tcPr>
            <w:tcW w:w="1788" w:type="dxa"/>
            <w:shd w:val="clear" w:color="auto" w:fill="C0C0C0"/>
            <w:vAlign w:val="center"/>
          </w:tcPr>
          <w:p w14:paraId="08EFAD91" w14:textId="77777777" w:rsidR="00BE6ABF" w:rsidRPr="0018475F" w:rsidRDefault="00BE6ABF" w:rsidP="00BE6ABF">
            <w:pPr>
              <w:pStyle w:val="TableHeadingCenter"/>
            </w:pPr>
            <w:r w:rsidRPr="0018475F">
              <w:rPr>
                <w:bCs/>
                <w:lang w:val="sk"/>
              </w:rPr>
              <w:t>GX</w:t>
            </w:r>
          </w:p>
        </w:tc>
        <w:tc>
          <w:tcPr>
            <w:tcW w:w="1803" w:type="dxa"/>
            <w:shd w:val="clear" w:color="auto" w:fill="C0C0C0"/>
            <w:vAlign w:val="center"/>
          </w:tcPr>
          <w:p w14:paraId="6DE23C49" w14:textId="77777777" w:rsidR="00BE6ABF" w:rsidRPr="0018475F" w:rsidRDefault="00BE6ABF" w:rsidP="00BE6ABF">
            <w:pPr>
              <w:pStyle w:val="TableHeadingCenter"/>
            </w:pPr>
            <w:r w:rsidRPr="0018475F">
              <w:rPr>
                <w:bCs/>
                <w:lang w:val="sk"/>
              </w:rPr>
              <w:t>ULTRA alebo ULTRA PLUS</w:t>
            </w:r>
            <w:r w:rsidRPr="0018475F">
              <w:rPr>
                <w:rStyle w:val="Reference"/>
                <w:bCs/>
                <w:lang w:val="sk"/>
              </w:rPr>
              <w:t>a</w:t>
            </w:r>
          </w:p>
        </w:tc>
      </w:tr>
      <w:tr w:rsidR="00BE6ABF" w:rsidRPr="0018475F" w14:paraId="08FAE2E2" w14:textId="77777777" w:rsidTr="00BE6ABF">
        <w:tc>
          <w:tcPr>
            <w:tcW w:w="1622" w:type="dxa"/>
            <w:vAlign w:val="center"/>
          </w:tcPr>
          <w:p w14:paraId="0E3D3B6D" w14:textId="77777777" w:rsidR="00BE6ABF" w:rsidRPr="0018475F" w:rsidRDefault="00BE6ABF" w:rsidP="00BE6ABF">
            <w:pPr>
              <w:pStyle w:val="TableHeadingCenter"/>
            </w:pPr>
            <w:r w:rsidRPr="0018475F">
              <w:rPr>
                <w:bCs/>
                <w:lang w:val="sk"/>
              </w:rPr>
              <w:t>Odstránenie parafínu</w:t>
            </w:r>
          </w:p>
        </w:tc>
        <w:tc>
          <w:tcPr>
            <w:tcW w:w="1788" w:type="dxa"/>
            <w:vAlign w:val="center"/>
          </w:tcPr>
          <w:p w14:paraId="5E1D89D4" w14:textId="77777777" w:rsidR="00BE6ABF" w:rsidRPr="0018475F" w:rsidRDefault="00BE6ABF" w:rsidP="00BE6ABF">
            <w:pPr>
              <w:pStyle w:val="TableTextCentered"/>
            </w:pPr>
            <w:r w:rsidRPr="0018475F">
              <w:rPr>
                <w:lang w:val="sk"/>
              </w:rPr>
              <w:t>Zvolené</w:t>
            </w:r>
          </w:p>
        </w:tc>
        <w:tc>
          <w:tcPr>
            <w:tcW w:w="1803" w:type="dxa"/>
            <w:vAlign w:val="center"/>
          </w:tcPr>
          <w:p w14:paraId="2E3D83ED" w14:textId="77777777" w:rsidR="00BE6ABF" w:rsidRPr="0018475F" w:rsidRDefault="00BE6ABF" w:rsidP="00BE6ABF">
            <w:pPr>
              <w:pStyle w:val="TableTextCentered"/>
            </w:pPr>
            <w:r w:rsidRPr="0018475F">
              <w:rPr>
                <w:lang w:val="sk"/>
              </w:rPr>
              <w:t>Zvolené</w:t>
            </w:r>
          </w:p>
        </w:tc>
      </w:tr>
      <w:tr w:rsidR="00BE6ABF" w:rsidRPr="0018475F" w14:paraId="465816B5" w14:textId="77777777" w:rsidTr="00BE6ABF">
        <w:tc>
          <w:tcPr>
            <w:tcW w:w="1622" w:type="dxa"/>
            <w:vAlign w:val="center"/>
          </w:tcPr>
          <w:p w14:paraId="1BDEAC08" w14:textId="77777777" w:rsidR="00BE6ABF" w:rsidRPr="0018475F" w:rsidRDefault="00BE6ABF" w:rsidP="00BE6ABF">
            <w:pPr>
              <w:pStyle w:val="TableHeadingCenter"/>
            </w:pPr>
            <w:r w:rsidRPr="0018475F">
              <w:rPr>
                <w:bCs/>
                <w:lang w:val="sk"/>
              </w:rPr>
              <w:t>Cell Conditioning</w:t>
            </w:r>
            <w:r w:rsidRPr="0018475F">
              <w:rPr>
                <w:b w:val="0"/>
                <w:lang w:val="sk"/>
              </w:rPr>
              <w:br/>
            </w:r>
            <w:r w:rsidRPr="0018475F">
              <w:rPr>
                <w:bCs/>
                <w:lang w:val="sk"/>
              </w:rPr>
              <w:t>(Odmaskovanie antigénu)</w:t>
            </w:r>
          </w:p>
        </w:tc>
        <w:tc>
          <w:tcPr>
            <w:tcW w:w="1788" w:type="dxa"/>
            <w:vAlign w:val="center"/>
          </w:tcPr>
          <w:p w14:paraId="487A5DA9" w14:textId="77777777" w:rsidR="00BE6ABF" w:rsidRPr="0018475F" w:rsidRDefault="00BE6ABF" w:rsidP="00BE6ABF">
            <w:pPr>
              <w:pStyle w:val="TableTextCentered"/>
            </w:pPr>
            <w:r w:rsidRPr="0018475F">
              <w:rPr>
                <w:lang w:val="sk"/>
              </w:rPr>
              <w:t>CC1, Mierna</w:t>
            </w:r>
          </w:p>
        </w:tc>
        <w:tc>
          <w:tcPr>
            <w:tcW w:w="1803" w:type="dxa"/>
            <w:vAlign w:val="center"/>
          </w:tcPr>
          <w:p w14:paraId="1968036C" w14:textId="77777777" w:rsidR="00BE6ABF" w:rsidRPr="0018475F" w:rsidRDefault="00BE6ABF" w:rsidP="00BE6ABF">
            <w:pPr>
              <w:pStyle w:val="TableTextCentered"/>
            </w:pPr>
            <w:r w:rsidRPr="0018475F">
              <w:rPr>
                <w:lang w:val="sk"/>
              </w:rPr>
              <w:t>ULTRA CC1,</w:t>
            </w:r>
            <w:r w:rsidRPr="0018475F">
              <w:rPr>
                <w:lang w:val="sk"/>
              </w:rPr>
              <w:br/>
              <w:t>mierna</w:t>
            </w:r>
          </w:p>
        </w:tc>
      </w:tr>
      <w:tr w:rsidR="00BE6ABF" w:rsidRPr="0018475F" w14:paraId="1A84FA16" w14:textId="77777777" w:rsidTr="00BE6ABF">
        <w:tc>
          <w:tcPr>
            <w:tcW w:w="1622" w:type="dxa"/>
            <w:vAlign w:val="center"/>
          </w:tcPr>
          <w:p w14:paraId="3C6BFABE" w14:textId="77777777" w:rsidR="00BE6ABF" w:rsidRPr="0018475F" w:rsidRDefault="00BE6ABF" w:rsidP="00BE6ABF">
            <w:pPr>
              <w:pStyle w:val="TableHeadingCenter"/>
            </w:pPr>
            <w:r w:rsidRPr="0018475F">
              <w:rPr>
                <w:bCs/>
                <w:lang w:val="sk"/>
              </w:rPr>
              <w:t>Protilátka (primárna)</w:t>
            </w:r>
          </w:p>
        </w:tc>
        <w:tc>
          <w:tcPr>
            <w:tcW w:w="1788" w:type="dxa"/>
            <w:vAlign w:val="center"/>
          </w:tcPr>
          <w:p w14:paraId="157F0E76" w14:textId="77777777" w:rsidR="00BE6ABF" w:rsidRPr="0018475F" w:rsidRDefault="00BE6ABF" w:rsidP="00BE6ABF">
            <w:pPr>
              <w:pStyle w:val="TableTextCentered"/>
            </w:pPr>
            <w:r w:rsidRPr="0018475F">
              <w:rPr>
                <w:lang w:val="sk"/>
              </w:rPr>
              <w:t xml:space="preserve">16 minút, </w:t>
            </w:r>
            <w:r w:rsidRPr="0018475F">
              <w:rPr>
                <w:lang w:val="sk"/>
              </w:rPr>
              <w:br/>
              <w:t>37 °C</w:t>
            </w:r>
          </w:p>
        </w:tc>
        <w:tc>
          <w:tcPr>
            <w:tcW w:w="1803" w:type="dxa"/>
            <w:vAlign w:val="center"/>
          </w:tcPr>
          <w:p w14:paraId="465A8AA0" w14:textId="77777777" w:rsidR="00BE6ABF" w:rsidRPr="0018475F" w:rsidRDefault="00BE6ABF" w:rsidP="00BE6ABF">
            <w:pPr>
              <w:pStyle w:val="TableTextCentered"/>
            </w:pPr>
            <w:r w:rsidRPr="0018475F">
              <w:rPr>
                <w:lang w:val="sk"/>
              </w:rPr>
              <w:t xml:space="preserve">24 minút, </w:t>
            </w:r>
            <w:r w:rsidRPr="0018475F">
              <w:rPr>
                <w:lang w:val="sk"/>
              </w:rPr>
              <w:br/>
              <w:t>36 °C</w:t>
            </w:r>
          </w:p>
        </w:tc>
      </w:tr>
      <w:tr w:rsidR="00BE6ABF" w:rsidRPr="0018475F" w14:paraId="3EE93C94" w14:textId="77777777" w:rsidTr="00BE6ABF">
        <w:tc>
          <w:tcPr>
            <w:tcW w:w="1622" w:type="dxa"/>
            <w:vAlign w:val="center"/>
          </w:tcPr>
          <w:p w14:paraId="7A7AEF49" w14:textId="77777777" w:rsidR="00BE6ABF" w:rsidRPr="0018475F" w:rsidRDefault="00BE6ABF" w:rsidP="00BE6ABF">
            <w:pPr>
              <w:pStyle w:val="TableHeadingCenter"/>
            </w:pPr>
            <w:r w:rsidRPr="0018475F">
              <w:rPr>
                <w:bCs/>
                <w:lang w:val="sk"/>
              </w:rPr>
              <w:t>ultraBlock</w:t>
            </w:r>
            <w:r w:rsidRPr="0018475F">
              <w:rPr>
                <w:rStyle w:val="Reference"/>
                <w:bCs/>
                <w:lang w:val="sk"/>
              </w:rPr>
              <w:t>b</w:t>
            </w:r>
          </w:p>
        </w:tc>
        <w:tc>
          <w:tcPr>
            <w:tcW w:w="3591" w:type="dxa"/>
            <w:gridSpan w:val="2"/>
            <w:vAlign w:val="center"/>
          </w:tcPr>
          <w:p w14:paraId="593AC6CB" w14:textId="77777777" w:rsidR="00BE6ABF" w:rsidRPr="0018475F" w:rsidRDefault="00BE6ABF" w:rsidP="00BE6ABF">
            <w:pPr>
              <w:pStyle w:val="TableTextCentered"/>
            </w:pPr>
            <w:r w:rsidRPr="0018475F">
              <w:rPr>
                <w:lang w:val="sk"/>
              </w:rPr>
              <w:t>8 minút</w:t>
            </w:r>
          </w:p>
        </w:tc>
      </w:tr>
      <w:tr w:rsidR="00BE6ABF" w:rsidRPr="0018475F" w14:paraId="597005DC" w14:textId="77777777" w:rsidTr="00BE6ABF">
        <w:tc>
          <w:tcPr>
            <w:tcW w:w="1622" w:type="dxa"/>
            <w:vAlign w:val="center"/>
          </w:tcPr>
          <w:p w14:paraId="14C5C3A6" w14:textId="77777777" w:rsidR="00BE6ABF" w:rsidRPr="0018475F" w:rsidRDefault="00BE6ABF" w:rsidP="00BE6ABF">
            <w:pPr>
              <w:pStyle w:val="TableHeadingCenter"/>
            </w:pPr>
            <w:r w:rsidRPr="0018475F">
              <w:rPr>
                <w:bCs/>
                <w:lang w:val="sk"/>
              </w:rPr>
              <w:t>Kontrastné farbivo</w:t>
            </w:r>
          </w:p>
        </w:tc>
        <w:tc>
          <w:tcPr>
            <w:tcW w:w="3591" w:type="dxa"/>
            <w:gridSpan w:val="2"/>
            <w:vAlign w:val="center"/>
          </w:tcPr>
          <w:p w14:paraId="01EF6E88" w14:textId="77777777" w:rsidR="00BE6ABF" w:rsidRPr="0018475F" w:rsidRDefault="00BE6ABF" w:rsidP="00BE6ABF">
            <w:pPr>
              <w:pStyle w:val="TableTextCentered"/>
            </w:pPr>
            <w:r w:rsidRPr="0018475F">
              <w:rPr>
                <w:lang w:val="sk"/>
              </w:rPr>
              <w:t>Hematoxylin II, 4 minúty</w:t>
            </w:r>
          </w:p>
        </w:tc>
      </w:tr>
      <w:tr w:rsidR="00BE6ABF" w:rsidRPr="0018475F" w14:paraId="549D7CBA" w14:textId="77777777" w:rsidTr="00BE6ABF">
        <w:tc>
          <w:tcPr>
            <w:tcW w:w="1622" w:type="dxa"/>
            <w:vAlign w:val="center"/>
          </w:tcPr>
          <w:p w14:paraId="399DBA71" w14:textId="77777777" w:rsidR="00BE6ABF" w:rsidRPr="0018475F" w:rsidRDefault="00BE6ABF" w:rsidP="00BE6ABF">
            <w:pPr>
              <w:pStyle w:val="TableHeadingCenter"/>
            </w:pPr>
            <w:r w:rsidRPr="0018475F">
              <w:rPr>
                <w:bCs/>
                <w:lang w:val="sk"/>
              </w:rPr>
              <w:t>Následné kontrastné farbivo</w:t>
            </w:r>
          </w:p>
        </w:tc>
        <w:tc>
          <w:tcPr>
            <w:tcW w:w="3591" w:type="dxa"/>
            <w:gridSpan w:val="2"/>
            <w:vAlign w:val="center"/>
          </w:tcPr>
          <w:p w14:paraId="730652A5" w14:textId="77777777" w:rsidR="00BE6ABF" w:rsidRPr="0018475F" w:rsidRDefault="00BE6ABF" w:rsidP="00BE6ABF">
            <w:pPr>
              <w:pStyle w:val="TableTextCentered"/>
            </w:pPr>
            <w:r w:rsidRPr="0018475F">
              <w:rPr>
                <w:lang w:val="sk"/>
              </w:rPr>
              <w:t>Bluing, 4 minúty</w:t>
            </w:r>
          </w:p>
        </w:tc>
      </w:tr>
    </w:tbl>
    <w:p w14:paraId="38C6BDEB" w14:textId="77777777" w:rsidR="00BE6ABF" w:rsidRPr="0018475F" w:rsidRDefault="00BE6ABF" w:rsidP="00BE6ABF">
      <w:r w:rsidRPr="0018475F">
        <w:rPr>
          <w:rStyle w:val="Reference"/>
          <w:lang w:val="sk"/>
        </w:rPr>
        <w:t>a</w:t>
      </w:r>
      <w:r w:rsidRPr="0018475F">
        <w:rPr>
          <w:lang w:val="sk"/>
        </w:rPr>
        <w:t xml:space="preserve"> Medzi prístrojmi BenchMark ULTRA a BenchMark ULTRA PLUS bola pomocou reprezentatívnych analýz preukázaná zhoda.</w:t>
      </w:r>
    </w:p>
    <w:p w14:paraId="3B70ABC0" w14:textId="77777777" w:rsidR="00BE6ABF" w:rsidRPr="0018475F" w:rsidRDefault="00BE6ABF" w:rsidP="00BE6ABF">
      <w:r w:rsidRPr="0018475F">
        <w:rPr>
          <w:rStyle w:val="Reference"/>
          <w:lang w:val="sk"/>
        </w:rPr>
        <w:t xml:space="preserve">b </w:t>
      </w:r>
      <w:r w:rsidRPr="0018475F">
        <w:rPr>
          <w:lang w:val="sk"/>
        </w:rPr>
        <w:t>Použitie VENTANA Antibody Diluent s Casein v kroku ultraBlock.</w:t>
      </w:r>
    </w:p>
    <w:p w14:paraId="6C79B43F" w14:textId="77777777" w:rsidR="00BE6ABF" w:rsidRPr="0018475F" w:rsidRDefault="00BE6ABF" w:rsidP="00BE6ABF">
      <w:pPr>
        <w:rPr>
          <w:rStyle w:val="Highlight"/>
        </w:rPr>
      </w:pPr>
    </w:p>
    <w:p w14:paraId="1404CA61" w14:textId="77777777" w:rsidR="00BE6ABF" w:rsidRPr="0018475F" w:rsidRDefault="00BE6ABF" w:rsidP="00BE6ABF">
      <w:pPr>
        <w:pStyle w:val="TableNumberAuto"/>
      </w:pPr>
      <w:bookmarkStart w:id="6" w:name="_Ref513455234"/>
      <w:r w:rsidRPr="0018475F">
        <w:rPr>
          <w:lang w:val="sk"/>
        </w:rPr>
        <w:t xml:space="preserve">Odporúčaný protokol farbenia pre protilátku CONFIRM anti-S100 (Polyclonal) s detekčnou súpravou </w:t>
      </w:r>
      <w:r w:rsidRPr="0018475F">
        <w:rPr>
          <w:rStyle w:val="ultraView"/>
          <w:lang w:val="sk"/>
        </w:rPr>
        <w:t>ultra</w:t>
      </w:r>
      <w:r w:rsidRPr="0018475F">
        <w:rPr>
          <w:lang w:val="sk"/>
        </w:rPr>
        <w:t>View Universal Alkaline Phosphatase Red Detection Kit v prístroji BenchMark IHC/ISH.</w:t>
      </w:r>
      <w:bookmarkEnd w:id="6"/>
    </w:p>
    <w:tbl>
      <w:tblPr>
        <w:tblW w:w="5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22"/>
        <w:gridCol w:w="1788"/>
        <w:gridCol w:w="1803"/>
      </w:tblGrid>
      <w:tr w:rsidR="00BE6ABF" w:rsidRPr="0018475F" w14:paraId="5F13900D" w14:textId="77777777" w:rsidTr="00BE6ABF">
        <w:trPr>
          <w:trHeight w:val="90"/>
          <w:tblHeader/>
        </w:trPr>
        <w:tc>
          <w:tcPr>
            <w:tcW w:w="1622" w:type="dxa"/>
            <w:vMerge w:val="restart"/>
            <w:tcBorders>
              <w:top w:val="single" w:sz="8" w:space="0" w:color="auto"/>
              <w:left w:val="single" w:sz="8" w:space="0" w:color="auto"/>
              <w:right w:val="single" w:sz="8" w:space="0" w:color="auto"/>
            </w:tcBorders>
            <w:shd w:val="clear" w:color="auto" w:fill="C0C0C0"/>
            <w:vAlign w:val="center"/>
            <w:hideMark/>
          </w:tcPr>
          <w:p w14:paraId="16D49786" w14:textId="77777777" w:rsidR="00BE6ABF" w:rsidRPr="0018475F" w:rsidRDefault="00BE6ABF" w:rsidP="00BE6ABF">
            <w:pPr>
              <w:pStyle w:val="TableHeadingCenter"/>
            </w:pPr>
            <w:r w:rsidRPr="0018475F">
              <w:rPr>
                <w:bCs/>
                <w:lang w:val="sk"/>
              </w:rPr>
              <w:t>Typ postupu</w:t>
            </w:r>
          </w:p>
        </w:tc>
        <w:tc>
          <w:tcPr>
            <w:tcW w:w="3591" w:type="dxa"/>
            <w:gridSpan w:val="2"/>
            <w:tcBorders>
              <w:top w:val="single" w:sz="8" w:space="0" w:color="auto"/>
              <w:left w:val="single" w:sz="8" w:space="0" w:color="auto"/>
              <w:bottom w:val="single" w:sz="8" w:space="0" w:color="auto"/>
              <w:right w:val="single" w:sz="8" w:space="0" w:color="auto"/>
            </w:tcBorders>
            <w:shd w:val="clear" w:color="auto" w:fill="C0C0C0"/>
            <w:vAlign w:val="center"/>
            <w:hideMark/>
          </w:tcPr>
          <w:p w14:paraId="74C5B091" w14:textId="77777777" w:rsidR="00BE6ABF" w:rsidRPr="0018475F" w:rsidRDefault="00BE6ABF" w:rsidP="00BE6ABF">
            <w:pPr>
              <w:pStyle w:val="TableHeadingCenter"/>
            </w:pPr>
            <w:r w:rsidRPr="0018475F">
              <w:rPr>
                <w:bCs/>
                <w:lang w:val="sk"/>
              </w:rPr>
              <w:t>Metóda</w:t>
            </w:r>
          </w:p>
        </w:tc>
      </w:tr>
      <w:tr w:rsidR="00BE6ABF" w:rsidRPr="0018475F" w14:paraId="4C22797E" w14:textId="77777777" w:rsidTr="00BE6ABF">
        <w:trPr>
          <w:trHeight w:val="90"/>
          <w:tblHeader/>
        </w:trPr>
        <w:tc>
          <w:tcPr>
            <w:tcW w:w="1622" w:type="dxa"/>
            <w:vMerge/>
            <w:tcBorders>
              <w:left w:val="single" w:sz="8" w:space="0" w:color="auto"/>
              <w:bottom w:val="single" w:sz="8" w:space="0" w:color="auto"/>
              <w:right w:val="single" w:sz="8" w:space="0" w:color="auto"/>
            </w:tcBorders>
            <w:vAlign w:val="center"/>
            <w:hideMark/>
          </w:tcPr>
          <w:p w14:paraId="0C8A39CA" w14:textId="77777777" w:rsidR="00BE6ABF" w:rsidRPr="0018475F" w:rsidRDefault="00BE6ABF" w:rsidP="00BE6ABF"/>
        </w:tc>
        <w:tc>
          <w:tcPr>
            <w:tcW w:w="1788"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2DD79F8C" w14:textId="77777777" w:rsidR="00BE6ABF" w:rsidRPr="0018475F" w:rsidRDefault="00BE6ABF" w:rsidP="00BE6ABF">
            <w:pPr>
              <w:pStyle w:val="TableHeadingCenter"/>
            </w:pPr>
            <w:r w:rsidRPr="0018475F">
              <w:rPr>
                <w:bCs/>
                <w:lang w:val="sk"/>
              </w:rPr>
              <w:t>GX</w:t>
            </w:r>
          </w:p>
        </w:tc>
        <w:tc>
          <w:tcPr>
            <w:tcW w:w="1803"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44109B4C" w14:textId="77777777" w:rsidR="00BE6ABF" w:rsidRPr="0018475F" w:rsidRDefault="00BE6ABF" w:rsidP="00BE6ABF">
            <w:pPr>
              <w:pStyle w:val="TableHeadingCenter"/>
            </w:pPr>
            <w:r w:rsidRPr="0018475F">
              <w:rPr>
                <w:bCs/>
                <w:lang w:val="sk"/>
              </w:rPr>
              <w:t>ULTRA alebo ULTRA PLUS</w:t>
            </w:r>
            <w:r w:rsidRPr="0018475F">
              <w:rPr>
                <w:rStyle w:val="Reference"/>
                <w:bCs/>
                <w:lang w:val="sk"/>
              </w:rPr>
              <w:t>a</w:t>
            </w:r>
          </w:p>
        </w:tc>
      </w:tr>
      <w:tr w:rsidR="00BE6ABF" w:rsidRPr="0018475F" w14:paraId="31F6653B" w14:textId="77777777" w:rsidTr="00BE6ABF">
        <w:tc>
          <w:tcPr>
            <w:tcW w:w="1622" w:type="dxa"/>
            <w:tcBorders>
              <w:top w:val="single" w:sz="8" w:space="0" w:color="auto"/>
              <w:left w:val="single" w:sz="8" w:space="0" w:color="auto"/>
              <w:bottom w:val="single" w:sz="8" w:space="0" w:color="auto"/>
              <w:right w:val="single" w:sz="8" w:space="0" w:color="auto"/>
            </w:tcBorders>
            <w:vAlign w:val="center"/>
            <w:hideMark/>
          </w:tcPr>
          <w:p w14:paraId="619BAA2B" w14:textId="77777777" w:rsidR="00BE6ABF" w:rsidRPr="0018475F" w:rsidRDefault="00BE6ABF" w:rsidP="00BE6ABF">
            <w:pPr>
              <w:pStyle w:val="TableHeadingCenter"/>
            </w:pPr>
            <w:r w:rsidRPr="0018475F">
              <w:rPr>
                <w:bCs/>
                <w:lang w:val="sk"/>
              </w:rPr>
              <w:t>Odstránenie parafínu</w:t>
            </w:r>
          </w:p>
        </w:tc>
        <w:tc>
          <w:tcPr>
            <w:tcW w:w="1788" w:type="dxa"/>
            <w:tcBorders>
              <w:top w:val="single" w:sz="8" w:space="0" w:color="auto"/>
              <w:left w:val="single" w:sz="8" w:space="0" w:color="auto"/>
              <w:bottom w:val="single" w:sz="8" w:space="0" w:color="auto"/>
              <w:right w:val="single" w:sz="8" w:space="0" w:color="auto"/>
            </w:tcBorders>
            <w:vAlign w:val="center"/>
            <w:hideMark/>
          </w:tcPr>
          <w:p w14:paraId="2BDC13D5" w14:textId="77777777" w:rsidR="00BE6ABF" w:rsidRPr="0018475F" w:rsidRDefault="00BE6ABF" w:rsidP="00BE6ABF">
            <w:pPr>
              <w:pStyle w:val="TableTextCentered"/>
            </w:pPr>
            <w:r w:rsidRPr="0018475F">
              <w:rPr>
                <w:lang w:val="sk"/>
              </w:rPr>
              <w:t>Zvolené</w:t>
            </w:r>
          </w:p>
        </w:tc>
        <w:tc>
          <w:tcPr>
            <w:tcW w:w="1803" w:type="dxa"/>
            <w:tcBorders>
              <w:top w:val="single" w:sz="8" w:space="0" w:color="auto"/>
              <w:left w:val="single" w:sz="8" w:space="0" w:color="auto"/>
              <w:bottom w:val="single" w:sz="8" w:space="0" w:color="auto"/>
              <w:right w:val="single" w:sz="8" w:space="0" w:color="auto"/>
            </w:tcBorders>
            <w:vAlign w:val="center"/>
            <w:hideMark/>
          </w:tcPr>
          <w:p w14:paraId="34F18E8C" w14:textId="77777777" w:rsidR="00BE6ABF" w:rsidRPr="0018475F" w:rsidRDefault="00BE6ABF" w:rsidP="00BE6ABF">
            <w:pPr>
              <w:pStyle w:val="TableTextCentered"/>
            </w:pPr>
            <w:r w:rsidRPr="0018475F">
              <w:rPr>
                <w:lang w:val="sk"/>
              </w:rPr>
              <w:t>Zvolené</w:t>
            </w:r>
          </w:p>
        </w:tc>
      </w:tr>
      <w:tr w:rsidR="00BE6ABF" w:rsidRPr="0018475F" w14:paraId="237205E6" w14:textId="77777777" w:rsidTr="00BE6ABF">
        <w:tc>
          <w:tcPr>
            <w:tcW w:w="1622" w:type="dxa"/>
            <w:tcBorders>
              <w:top w:val="single" w:sz="8" w:space="0" w:color="auto"/>
              <w:left w:val="single" w:sz="8" w:space="0" w:color="auto"/>
              <w:bottom w:val="single" w:sz="8" w:space="0" w:color="auto"/>
              <w:right w:val="single" w:sz="8" w:space="0" w:color="auto"/>
            </w:tcBorders>
            <w:vAlign w:val="center"/>
            <w:hideMark/>
          </w:tcPr>
          <w:p w14:paraId="54965024" w14:textId="77777777" w:rsidR="00BE6ABF" w:rsidRPr="0018475F" w:rsidRDefault="00BE6ABF" w:rsidP="00BE6ABF">
            <w:pPr>
              <w:pStyle w:val="TableHeadingCenter"/>
            </w:pPr>
            <w:r w:rsidRPr="0018475F">
              <w:rPr>
                <w:bCs/>
                <w:lang w:val="sk"/>
              </w:rPr>
              <w:t>Cell Conditioning</w:t>
            </w:r>
            <w:r w:rsidRPr="0018475F">
              <w:rPr>
                <w:b w:val="0"/>
                <w:lang w:val="sk"/>
              </w:rPr>
              <w:br/>
            </w:r>
            <w:r w:rsidRPr="0018475F">
              <w:rPr>
                <w:bCs/>
                <w:lang w:val="sk"/>
              </w:rPr>
              <w:t>(Odmaskovanie antigénu)</w:t>
            </w:r>
          </w:p>
        </w:tc>
        <w:tc>
          <w:tcPr>
            <w:tcW w:w="1788" w:type="dxa"/>
            <w:tcBorders>
              <w:top w:val="single" w:sz="8" w:space="0" w:color="auto"/>
              <w:left w:val="single" w:sz="8" w:space="0" w:color="auto"/>
              <w:bottom w:val="single" w:sz="8" w:space="0" w:color="auto"/>
              <w:right w:val="single" w:sz="8" w:space="0" w:color="auto"/>
            </w:tcBorders>
            <w:vAlign w:val="center"/>
            <w:hideMark/>
          </w:tcPr>
          <w:p w14:paraId="258D4866" w14:textId="77777777" w:rsidR="00BE6ABF" w:rsidRPr="0018475F" w:rsidRDefault="00BE6ABF" w:rsidP="00BE6ABF">
            <w:pPr>
              <w:pStyle w:val="TableTextCentered"/>
            </w:pPr>
            <w:r w:rsidRPr="0018475F">
              <w:rPr>
                <w:lang w:val="sk"/>
              </w:rPr>
              <w:t>CC1, Mierna</w:t>
            </w:r>
          </w:p>
        </w:tc>
        <w:tc>
          <w:tcPr>
            <w:tcW w:w="1803" w:type="dxa"/>
            <w:tcBorders>
              <w:top w:val="single" w:sz="8" w:space="0" w:color="auto"/>
              <w:left w:val="single" w:sz="8" w:space="0" w:color="auto"/>
              <w:bottom w:val="single" w:sz="8" w:space="0" w:color="auto"/>
              <w:right w:val="single" w:sz="8" w:space="0" w:color="auto"/>
            </w:tcBorders>
            <w:vAlign w:val="center"/>
            <w:hideMark/>
          </w:tcPr>
          <w:p w14:paraId="381F4A4C" w14:textId="77777777" w:rsidR="00BE6ABF" w:rsidRPr="0018475F" w:rsidRDefault="00BE6ABF" w:rsidP="00BE6ABF">
            <w:pPr>
              <w:pStyle w:val="TableTextCentered"/>
            </w:pPr>
            <w:r w:rsidRPr="0018475F">
              <w:rPr>
                <w:lang w:val="sk"/>
              </w:rPr>
              <w:t xml:space="preserve">ULTRA CC1, </w:t>
            </w:r>
            <w:r w:rsidRPr="0018475F">
              <w:rPr>
                <w:lang w:val="sk"/>
              </w:rPr>
              <w:br/>
              <w:t>mierna</w:t>
            </w:r>
          </w:p>
        </w:tc>
      </w:tr>
      <w:tr w:rsidR="00BE6ABF" w:rsidRPr="0018475F" w14:paraId="16C85FC3" w14:textId="77777777" w:rsidTr="00BE6ABF">
        <w:tc>
          <w:tcPr>
            <w:tcW w:w="1622" w:type="dxa"/>
            <w:tcBorders>
              <w:top w:val="single" w:sz="8" w:space="0" w:color="auto"/>
              <w:left w:val="single" w:sz="8" w:space="0" w:color="auto"/>
              <w:bottom w:val="single" w:sz="8" w:space="0" w:color="auto"/>
              <w:right w:val="single" w:sz="8" w:space="0" w:color="auto"/>
            </w:tcBorders>
            <w:vAlign w:val="center"/>
            <w:hideMark/>
          </w:tcPr>
          <w:p w14:paraId="68591C8C" w14:textId="77777777" w:rsidR="00BE6ABF" w:rsidRPr="0018475F" w:rsidRDefault="00BE6ABF" w:rsidP="00BE6ABF">
            <w:pPr>
              <w:pStyle w:val="TableHeadingCenter"/>
            </w:pPr>
            <w:r w:rsidRPr="0018475F">
              <w:rPr>
                <w:bCs/>
                <w:lang w:val="sk"/>
              </w:rPr>
              <w:t>Protilátka (primárna)</w:t>
            </w:r>
          </w:p>
        </w:tc>
        <w:tc>
          <w:tcPr>
            <w:tcW w:w="1788" w:type="dxa"/>
            <w:tcBorders>
              <w:top w:val="single" w:sz="8" w:space="0" w:color="auto"/>
              <w:left w:val="single" w:sz="8" w:space="0" w:color="auto"/>
              <w:bottom w:val="single" w:sz="8" w:space="0" w:color="auto"/>
              <w:right w:val="single" w:sz="8" w:space="0" w:color="auto"/>
            </w:tcBorders>
            <w:vAlign w:val="center"/>
            <w:hideMark/>
          </w:tcPr>
          <w:p w14:paraId="3DA91873" w14:textId="77777777" w:rsidR="00BE6ABF" w:rsidRPr="0018475F" w:rsidRDefault="00BE6ABF" w:rsidP="00BE6ABF">
            <w:pPr>
              <w:pStyle w:val="TableTextCentered"/>
            </w:pPr>
            <w:r w:rsidRPr="0018475F">
              <w:rPr>
                <w:lang w:val="sk"/>
              </w:rPr>
              <w:t xml:space="preserve">16 minút, </w:t>
            </w:r>
            <w:r w:rsidRPr="0018475F">
              <w:rPr>
                <w:lang w:val="sk"/>
              </w:rPr>
              <w:br/>
              <w:t>37 °C</w:t>
            </w:r>
          </w:p>
        </w:tc>
        <w:tc>
          <w:tcPr>
            <w:tcW w:w="1803" w:type="dxa"/>
            <w:tcBorders>
              <w:top w:val="single" w:sz="8" w:space="0" w:color="auto"/>
              <w:left w:val="single" w:sz="8" w:space="0" w:color="auto"/>
              <w:bottom w:val="single" w:sz="8" w:space="0" w:color="auto"/>
              <w:right w:val="single" w:sz="8" w:space="0" w:color="auto"/>
            </w:tcBorders>
            <w:vAlign w:val="center"/>
            <w:hideMark/>
          </w:tcPr>
          <w:p w14:paraId="1B1BDBB5" w14:textId="77777777" w:rsidR="00BE6ABF" w:rsidRPr="0018475F" w:rsidRDefault="00BE6ABF" w:rsidP="00BE6ABF">
            <w:pPr>
              <w:pStyle w:val="TableTextCentered"/>
            </w:pPr>
            <w:r w:rsidRPr="0018475F">
              <w:rPr>
                <w:lang w:val="sk"/>
              </w:rPr>
              <w:t xml:space="preserve">24 minút, </w:t>
            </w:r>
            <w:r w:rsidRPr="0018475F">
              <w:rPr>
                <w:lang w:val="sk"/>
              </w:rPr>
              <w:br/>
              <w:t>36 °C</w:t>
            </w:r>
          </w:p>
        </w:tc>
      </w:tr>
      <w:tr w:rsidR="00BE6ABF" w:rsidRPr="0018475F" w14:paraId="229FE810" w14:textId="77777777" w:rsidTr="00BE6ABF">
        <w:tc>
          <w:tcPr>
            <w:tcW w:w="1622" w:type="dxa"/>
            <w:tcBorders>
              <w:top w:val="single" w:sz="8" w:space="0" w:color="auto"/>
              <w:left w:val="single" w:sz="8" w:space="0" w:color="auto"/>
              <w:bottom w:val="single" w:sz="8" w:space="0" w:color="auto"/>
              <w:right w:val="single" w:sz="8" w:space="0" w:color="auto"/>
            </w:tcBorders>
            <w:vAlign w:val="center"/>
            <w:hideMark/>
          </w:tcPr>
          <w:p w14:paraId="200E6760" w14:textId="77777777" w:rsidR="00BE6ABF" w:rsidRPr="0018475F" w:rsidRDefault="00BE6ABF" w:rsidP="00BE6ABF">
            <w:pPr>
              <w:pStyle w:val="TableHeadingCenter"/>
            </w:pPr>
            <w:r w:rsidRPr="0018475F">
              <w:rPr>
                <w:bCs/>
                <w:lang w:val="sk"/>
              </w:rPr>
              <w:t>ultraBlock</w:t>
            </w:r>
            <w:r w:rsidRPr="0018475F">
              <w:rPr>
                <w:rStyle w:val="Reference"/>
                <w:bCs/>
                <w:lang w:val="sk"/>
              </w:rPr>
              <w:t>b</w:t>
            </w:r>
          </w:p>
        </w:tc>
        <w:tc>
          <w:tcPr>
            <w:tcW w:w="3591" w:type="dxa"/>
            <w:gridSpan w:val="2"/>
            <w:tcBorders>
              <w:top w:val="single" w:sz="8" w:space="0" w:color="auto"/>
              <w:left w:val="single" w:sz="8" w:space="0" w:color="auto"/>
              <w:bottom w:val="single" w:sz="8" w:space="0" w:color="auto"/>
              <w:right w:val="single" w:sz="8" w:space="0" w:color="auto"/>
            </w:tcBorders>
            <w:vAlign w:val="center"/>
            <w:hideMark/>
          </w:tcPr>
          <w:p w14:paraId="63A095CE" w14:textId="77777777" w:rsidR="00BE6ABF" w:rsidRPr="0018475F" w:rsidRDefault="00BE6ABF" w:rsidP="00BE6ABF">
            <w:pPr>
              <w:pStyle w:val="TableTextCentered"/>
            </w:pPr>
            <w:r w:rsidRPr="0018475F">
              <w:rPr>
                <w:lang w:val="sk"/>
              </w:rPr>
              <w:t>8 minút</w:t>
            </w:r>
          </w:p>
        </w:tc>
      </w:tr>
      <w:tr w:rsidR="00BE6ABF" w:rsidRPr="0018475F" w14:paraId="642ECAFC" w14:textId="77777777" w:rsidTr="00BE6ABF">
        <w:tc>
          <w:tcPr>
            <w:tcW w:w="1622" w:type="dxa"/>
            <w:tcBorders>
              <w:top w:val="single" w:sz="8" w:space="0" w:color="auto"/>
              <w:left w:val="single" w:sz="8" w:space="0" w:color="auto"/>
              <w:bottom w:val="single" w:sz="8" w:space="0" w:color="auto"/>
              <w:right w:val="single" w:sz="8" w:space="0" w:color="auto"/>
            </w:tcBorders>
            <w:vAlign w:val="center"/>
            <w:hideMark/>
          </w:tcPr>
          <w:p w14:paraId="6B967AB0" w14:textId="77777777" w:rsidR="00BE6ABF" w:rsidRPr="0018475F" w:rsidRDefault="00BE6ABF" w:rsidP="00BE6ABF">
            <w:pPr>
              <w:pStyle w:val="TableHeadingCenter"/>
            </w:pPr>
            <w:r w:rsidRPr="0018475F">
              <w:rPr>
                <w:bCs/>
                <w:lang w:val="sk"/>
              </w:rPr>
              <w:t>Kontrastné farbivo</w:t>
            </w:r>
          </w:p>
        </w:tc>
        <w:tc>
          <w:tcPr>
            <w:tcW w:w="3591" w:type="dxa"/>
            <w:gridSpan w:val="2"/>
            <w:tcBorders>
              <w:top w:val="single" w:sz="8" w:space="0" w:color="auto"/>
              <w:left w:val="single" w:sz="8" w:space="0" w:color="auto"/>
              <w:bottom w:val="single" w:sz="8" w:space="0" w:color="auto"/>
              <w:right w:val="single" w:sz="8" w:space="0" w:color="auto"/>
            </w:tcBorders>
            <w:vAlign w:val="center"/>
            <w:hideMark/>
          </w:tcPr>
          <w:p w14:paraId="06ED99B8" w14:textId="77777777" w:rsidR="00BE6ABF" w:rsidRPr="0018475F" w:rsidRDefault="00BE6ABF" w:rsidP="00BE6ABF">
            <w:pPr>
              <w:pStyle w:val="TableTextCentered"/>
            </w:pPr>
            <w:r w:rsidRPr="0018475F">
              <w:rPr>
                <w:lang w:val="sk"/>
              </w:rPr>
              <w:t>Hematoxylin II, 4 minúty</w:t>
            </w:r>
          </w:p>
        </w:tc>
      </w:tr>
      <w:tr w:rsidR="00BE6ABF" w:rsidRPr="0018475F" w14:paraId="34094813" w14:textId="77777777" w:rsidTr="00BE6ABF">
        <w:tc>
          <w:tcPr>
            <w:tcW w:w="1622" w:type="dxa"/>
            <w:tcBorders>
              <w:top w:val="single" w:sz="8" w:space="0" w:color="auto"/>
              <w:left w:val="single" w:sz="8" w:space="0" w:color="auto"/>
              <w:bottom w:val="single" w:sz="8" w:space="0" w:color="auto"/>
              <w:right w:val="single" w:sz="8" w:space="0" w:color="auto"/>
            </w:tcBorders>
            <w:vAlign w:val="center"/>
            <w:hideMark/>
          </w:tcPr>
          <w:p w14:paraId="722E06A7" w14:textId="77777777" w:rsidR="00BE6ABF" w:rsidRPr="0018475F" w:rsidRDefault="00BE6ABF" w:rsidP="00BE6ABF">
            <w:pPr>
              <w:pStyle w:val="TableHeadingCenter"/>
            </w:pPr>
            <w:r w:rsidRPr="0018475F">
              <w:rPr>
                <w:bCs/>
                <w:lang w:val="sk"/>
              </w:rPr>
              <w:t>Následné kontrastné farbivo</w:t>
            </w:r>
          </w:p>
        </w:tc>
        <w:tc>
          <w:tcPr>
            <w:tcW w:w="3591" w:type="dxa"/>
            <w:gridSpan w:val="2"/>
            <w:tcBorders>
              <w:top w:val="single" w:sz="8" w:space="0" w:color="auto"/>
              <w:left w:val="single" w:sz="8" w:space="0" w:color="auto"/>
              <w:bottom w:val="single" w:sz="8" w:space="0" w:color="auto"/>
              <w:right w:val="single" w:sz="8" w:space="0" w:color="auto"/>
            </w:tcBorders>
            <w:vAlign w:val="center"/>
            <w:hideMark/>
          </w:tcPr>
          <w:p w14:paraId="6AC21E17" w14:textId="77777777" w:rsidR="00BE6ABF" w:rsidRPr="0018475F" w:rsidRDefault="00BE6ABF" w:rsidP="00BE6ABF">
            <w:pPr>
              <w:pStyle w:val="TableTextCentered"/>
            </w:pPr>
            <w:r w:rsidRPr="0018475F">
              <w:rPr>
                <w:lang w:val="sk"/>
              </w:rPr>
              <w:t>Bluing, 4 minúty</w:t>
            </w:r>
          </w:p>
        </w:tc>
      </w:tr>
    </w:tbl>
    <w:p w14:paraId="631ED412" w14:textId="77777777" w:rsidR="00BE6ABF" w:rsidRPr="0018475F" w:rsidRDefault="00BE6ABF" w:rsidP="00BE6ABF">
      <w:r w:rsidRPr="0018475F">
        <w:rPr>
          <w:rStyle w:val="Reference"/>
          <w:lang w:val="sk"/>
        </w:rPr>
        <w:t>a</w:t>
      </w:r>
      <w:r w:rsidRPr="0018475F">
        <w:rPr>
          <w:lang w:val="sk"/>
        </w:rPr>
        <w:t xml:space="preserve"> Medzi prístrojmi BenchMark ULTRA a BenchMark ULTRA PLUS bola pomocou reprezentatívnych analýz preukázaná zhoda.</w:t>
      </w:r>
    </w:p>
    <w:p w14:paraId="30BAA835" w14:textId="77777777" w:rsidR="00BE6ABF" w:rsidRPr="0018475F" w:rsidRDefault="00BE6ABF" w:rsidP="00BE6ABF">
      <w:r w:rsidRPr="0018475F">
        <w:rPr>
          <w:rStyle w:val="Reference"/>
          <w:lang w:val="sk"/>
        </w:rPr>
        <w:t xml:space="preserve">b </w:t>
      </w:r>
      <w:r w:rsidRPr="0018475F">
        <w:rPr>
          <w:lang w:val="sk"/>
        </w:rPr>
        <w:t>Použitie VENTANA Antibody Diluent s Casein v kroku ultraBlock.</w:t>
      </w:r>
    </w:p>
    <w:p w14:paraId="03D3C1CA" w14:textId="77777777" w:rsidR="00BE6ABF" w:rsidRPr="0018475F" w:rsidRDefault="00BE6ABF" w:rsidP="00BE6ABF"/>
    <w:p w14:paraId="6DBE0F43" w14:textId="77777777" w:rsidR="00BE6ABF" w:rsidRPr="0018475F" w:rsidRDefault="00BE6ABF" w:rsidP="00BE6ABF">
      <w:pPr>
        <w:pStyle w:val="TableNumberAuto"/>
      </w:pPr>
      <w:bookmarkStart w:id="7" w:name="_Ref513455241"/>
      <w:r w:rsidRPr="0018475F">
        <w:rPr>
          <w:lang w:val="sk"/>
        </w:rPr>
        <w:t>Odporúčaný protokol farbenia pre protilátku CONFIRM anti-S100 (Polyclonal) s detekčnou súpravou OptiView DAB IHC Detection Kit v prístroji BenchMark IHC/ISH.</w:t>
      </w:r>
      <w:bookmarkEnd w:id="7"/>
    </w:p>
    <w:tbl>
      <w:tblPr>
        <w:tblW w:w="5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22"/>
        <w:gridCol w:w="1788"/>
        <w:gridCol w:w="1803"/>
      </w:tblGrid>
      <w:tr w:rsidR="00BE6ABF" w:rsidRPr="0018475F" w14:paraId="2E15B6CC" w14:textId="77777777" w:rsidTr="00BE6ABF">
        <w:trPr>
          <w:trHeight w:val="90"/>
          <w:tblHeader/>
        </w:trPr>
        <w:tc>
          <w:tcPr>
            <w:tcW w:w="1622" w:type="dxa"/>
            <w:vMerge w:val="restart"/>
            <w:shd w:val="clear" w:color="auto" w:fill="C0C0C0"/>
            <w:vAlign w:val="center"/>
          </w:tcPr>
          <w:p w14:paraId="2F5C75FA" w14:textId="77777777" w:rsidR="00BE6ABF" w:rsidRPr="0018475F" w:rsidRDefault="00BE6ABF" w:rsidP="00BE6ABF">
            <w:pPr>
              <w:pStyle w:val="TableHeadingCenter"/>
            </w:pPr>
            <w:r w:rsidRPr="0018475F">
              <w:rPr>
                <w:bCs/>
                <w:lang w:val="sk"/>
              </w:rPr>
              <w:t>Typ postupu</w:t>
            </w:r>
          </w:p>
        </w:tc>
        <w:tc>
          <w:tcPr>
            <w:tcW w:w="3591" w:type="dxa"/>
            <w:gridSpan w:val="2"/>
            <w:shd w:val="clear" w:color="auto" w:fill="C0C0C0"/>
            <w:vAlign w:val="center"/>
          </w:tcPr>
          <w:p w14:paraId="0926BC62" w14:textId="77777777" w:rsidR="00BE6ABF" w:rsidRPr="0018475F" w:rsidRDefault="00BE6ABF" w:rsidP="00BE6ABF">
            <w:pPr>
              <w:pStyle w:val="TableHeadingCenter"/>
            </w:pPr>
            <w:r w:rsidRPr="0018475F">
              <w:rPr>
                <w:bCs/>
                <w:lang w:val="sk"/>
              </w:rPr>
              <w:t>Metóda</w:t>
            </w:r>
          </w:p>
        </w:tc>
      </w:tr>
      <w:tr w:rsidR="00BE6ABF" w:rsidRPr="0018475F" w14:paraId="70AFF108" w14:textId="77777777" w:rsidTr="00BE6ABF">
        <w:trPr>
          <w:trHeight w:val="90"/>
          <w:tblHeader/>
        </w:trPr>
        <w:tc>
          <w:tcPr>
            <w:tcW w:w="1622" w:type="dxa"/>
            <w:vMerge/>
            <w:shd w:val="clear" w:color="auto" w:fill="C0C0C0"/>
            <w:vAlign w:val="center"/>
          </w:tcPr>
          <w:p w14:paraId="1212769F" w14:textId="77777777" w:rsidR="00BE6ABF" w:rsidRPr="0018475F" w:rsidRDefault="00BE6ABF" w:rsidP="00BE6ABF">
            <w:pPr>
              <w:pStyle w:val="TableHeadingCenter"/>
            </w:pPr>
          </w:p>
        </w:tc>
        <w:tc>
          <w:tcPr>
            <w:tcW w:w="1788" w:type="dxa"/>
            <w:shd w:val="clear" w:color="auto" w:fill="C0C0C0"/>
            <w:vAlign w:val="center"/>
          </w:tcPr>
          <w:p w14:paraId="695D6250" w14:textId="77777777" w:rsidR="00BE6ABF" w:rsidRPr="0018475F" w:rsidRDefault="00BE6ABF" w:rsidP="00BE6ABF">
            <w:pPr>
              <w:pStyle w:val="TableHeadingCenter"/>
            </w:pPr>
            <w:r w:rsidRPr="0018475F">
              <w:rPr>
                <w:bCs/>
                <w:lang w:val="sk"/>
              </w:rPr>
              <w:t>GX</w:t>
            </w:r>
          </w:p>
        </w:tc>
        <w:tc>
          <w:tcPr>
            <w:tcW w:w="1803" w:type="dxa"/>
            <w:shd w:val="clear" w:color="auto" w:fill="C0C0C0"/>
            <w:vAlign w:val="center"/>
          </w:tcPr>
          <w:p w14:paraId="3E918BE0" w14:textId="77777777" w:rsidR="00BE6ABF" w:rsidRPr="0018475F" w:rsidRDefault="00BE6ABF" w:rsidP="00BE6ABF">
            <w:pPr>
              <w:pStyle w:val="TableHeadingCenter"/>
            </w:pPr>
            <w:r w:rsidRPr="0018475F">
              <w:rPr>
                <w:bCs/>
                <w:lang w:val="sk"/>
              </w:rPr>
              <w:t>ULTRA alebo ULTRA PLUS</w:t>
            </w:r>
            <w:r w:rsidRPr="0018475F">
              <w:rPr>
                <w:rStyle w:val="Reference"/>
                <w:bCs/>
                <w:lang w:val="sk"/>
              </w:rPr>
              <w:t>a</w:t>
            </w:r>
          </w:p>
        </w:tc>
      </w:tr>
      <w:tr w:rsidR="00BE6ABF" w:rsidRPr="0018475F" w14:paraId="3B019F12" w14:textId="77777777" w:rsidTr="00BE6ABF">
        <w:tc>
          <w:tcPr>
            <w:tcW w:w="1622" w:type="dxa"/>
            <w:vAlign w:val="center"/>
          </w:tcPr>
          <w:p w14:paraId="28BEA5E3" w14:textId="77777777" w:rsidR="00BE6ABF" w:rsidRPr="0018475F" w:rsidRDefault="00BE6ABF" w:rsidP="00BE6ABF">
            <w:pPr>
              <w:pStyle w:val="TableHeadingCenter"/>
            </w:pPr>
            <w:r w:rsidRPr="0018475F">
              <w:rPr>
                <w:bCs/>
                <w:lang w:val="sk"/>
              </w:rPr>
              <w:t>Odstránenie parafínu</w:t>
            </w:r>
          </w:p>
        </w:tc>
        <w:tc>
          <w:tcPr>
            <w:tcW w:w="1788" w:type="dxa"/>
            <w:vAlign w:val="center"/>
          </w:tcPr>
          <w:p w14:paraId="34EEB12F" w14:textId="77777777" w:rsidR="00BE6ABF" w:rsidRPr="0018475F" w:rsidRDefault="00BE6ABF" w:rsidP="00BE6ABF">
            <w:pPr>
              <w:pStyle w:val="TableTextCentered"/>
            </w:pPr>
            <w:r w:rsidRPr="0018475F">
              <w:rPr>
                <w:lang w:val="sk"/>
              </w:rPr>
              <w:t>Zvolené</w:t>
            </w:r>
          </w:p>
        </w:tc>
        <w:tc>
          <w:tcPr>
            <w:tcW w:w="1803" w:type="dxa"/>
            <w:vAlign w:val="center"/>
          </w:tcPr>
          <w:p w14:paraId="441028FF" w14:textId="77777777" w:rsidR="00BE6ABF" w:rsidRPr="0018475F" w:rsidRDefault="00BE6ABF" w:rsidP="00BE6ABF">
            <w:pPr>
              <w:pStyle w:val="TableTextCentered"/>
            </w:pPr>
            <w:r w:rsidRPr="0018475F">
              <w:rPr>
                <w:lang w:val="sk"/>
              </w:rPr>
              <w:t>Zvolené</w:t>
            </w:r>
          </w:p>
        </w:tc>
      </w:tr>
      <w:tr w:rsidR="00BE6ABF" w:rsidRPr="0018475F" w14:paraId="7484E8C5" w14:textId="77777777" w:rsidTr="00BE6ABF">
        <w:tc>
          <w:tcPr>
            <w:tcW w:w="1622" w:type="dxa"/>
            <w:vAlign w:val="center"/>
          </w:tcPr>
          <w:p w14:paraId="4840469C" w14:textId="77777777" w:rsidR="00BE6ABF" w:rsidRPr="0018475F" w:rsidRDefault="00BE6ABF" w:rsidP="00BE6ABF">
            <w:pPr>
              <w:pStyle w:val="TableHeadingCenter"/>
            </w:pPr>
            <w:r w:rsidRPr="0018475F">
              <w:rPr>
                <w:bCs/>
                <w:lang w:val="sk"/>
              </w:rPr>
              <w:t>Cell Conditioning</w:t>
            </w:r>
            <w:r w:rsidRPr="0018475F">
              <w:rPr>
                <w:b w:val="0"/>
                <w:lang w:val="sk"/>
              </w:rPr>
              <w:br/>
            </w:r>
            <w:r w:rsidRPr="0018475F">
              <w:rPr>
                <w:bCs/>
                <w:lang w:val="sk"/>
              </w:rPr>
              <w:t>(Odmaskovanie antigénu)</w:t>
            </w:r>
          </w:p>
        </w:tc>
        <w:tc>
          <w:tcPr>
            <w:tcW w:w="1788" w:type="dxa"/>
            <w:vAlign w:val="center"/>
          </w:tcPr>
          <w:p w14:paraId="64E1BD0A" w14:textId="77777777" w:rsidR="00BE6ABF" w:rsidRPr="0018475F" w:rsidRDefault="00BE6ABF" w:rsidP="00BE6ABF">
            <w:pPr>
              <w:pStyle w:val="TableTextCentered"/>
            </w:pPr>
            <w:r w:rsidRPr="0018475F">
              <w:rPr>
                <w:lang w:val="sk"/>
              </w:rPr>
              <w:t>CC1</w:t>
            </w:r>
            <w:r w:rsidRPr="0018475F">
              <w:rPr>
                <w:lang w:val="sk"/>
              </w:rPr>
              <w:br/>
              <w:t>16 minút</w:t>
            </w:r>
          </w:p>
        </w:tc>
        <w:tc>
          <w:tcPr>
            <w:tcW w:w="1803" w:type="dxa"/>
            <w:vAlign w:val="center"/>
          </w:tcPr>
          <w:p w14:paraId="431E17D4" w14:textId="77777777" w:rsidR="00BE6ABF" w:rsidRPr="0018475F" w:rsidRDefault="00BE6ABF" w:rsidP="00BE6ABF">
            <w:pPr>
              <w:pStyle w:val="TableTextCentered"/>
            </w:pPr>
            <w:r w:rsidRPr="0018475F">
              <w:rPr>
                <w:lang w:val="sk"/>
              </w:rPr>
              <w:t>ULTRA CC1</w:t>
            </w:r>
            <w:r w:rsidRPr="0018475F">
              <w:rPr>
                <w:lang w:val="sk"/>
              </w:rPr>
              <w:br/>
              <w:t xml:space="preserve">16 minút, </w:t>
            </w:r>
            <w:r w:rsidRPr="0018475F">
              <w:rPr>
                <w:lang w:val="sk"/>
              </w:rPr>
              <w:br/>
              <w:t>100 °C</w:t>
            </w:r>
          </w:p>
        </w:tc>
      </w:tr>
      <w:tr w:rsidR="00BE6ABF" w:rsidRPr="0018475F" w14:paraId="67986B4A" w14:textId="77777777" w:rsidTr="00BE6ABF">
        <w:tc>
          <w:tcPr>
            <w:tcW w:w="1622" w:type="dxa"/>
            <w:vAlign w:val="center"/>
          </w:tcPr>
          <w:p w14:paraId="29E2B5B8" w14:textId="77777777" w:rsidR="00BE6ABF" w:rsidRPr="0018475F" w:rsidRDefault="00BE6ABF" w:rsidP="00BE6ABF">
            <w:pPr>
              <w:pStyle w:val="TableHeadingCenter"/>
            </w:pPr>
            <w:r w:rsidRPr="0018475F">
              <w:rPr>
                <w:bCs/>
                <w:lang w:val="sk"/>
              </w:rPr>
              <w:t>Inhibítor preprimárnej peroxidázy</w:t>
            </w:r>
          </w:p>
        </w:tc>
        <w:tc>
          <w:tcPr>
            <w:tcW w:w="1788" w:type="dxa"/>
            <w:vAlign w:val="center"/>
          </w:tcPr>
          <w:p w14:paraId="796219E6" w14:textId="77777777" w:rsidR="00BE6ABF" w:rsidRPr="0018475F" w:rsidRDefault="00BE6ABF" w:rsidP="00BE6ABF">
            <w:pPr>
              <w:pStyle w:val="TableTextCentered"/>
            </w:pPr>
            <w:r w:rsidRPr="0018475F">
              <w:rPr>
                <w:lang w:val="sk"/>
              </w:rPr>
              <w:t>Zvolené</w:t>
            </w:r>
          </w:p>
        </w:tc>
        <w:tc>
          <w:tcPr>
            <w:tcW w:w="1803" w:type="dxa"/>
            <w:vAlign w:val="center"/>
          </w:tcPr>
          <w:p w14:paraId="43888663" w14:textId="77777777" w:rsidR="00BE6ABF" w:rsidRPr="0018475F" w:rsidRDefault="00BE6ABF" w:rsidP="00BE6ABF">
            <w:pPr>
              <w:pStyle w:val="TableTextCentered"/>
            </w:pPr>
            <w:r w:rsidRPr="0018475F">
              <w:rPr>
                <w:lang w:val="sk"/>
              </w:rPr>
              <w:t>Zvolené</w:t>
            </w:r>
          </w:p>
        </w:tc>
      </w:tr>
      <w:tr w:rsidR="00BE6ABF" w:rsidRPr="0018475F" w14:paraId="1B4E344D" w14:textId="77777777" w:rsidTr="00BE6ABF">
        <w:tc>
          <w:tcPr>
            <w:tcW w:w="1622" w:type="dxa"/>
            <w:vAlign w:val="center"/>
          </w:tcPr>
          <w:p w14:paraId="5D58E23A" w14:textId="77777777" w:rsidR="00BE6ABF" w:rsidRPr="0018475F" w:rsidRDefault="00BE6ABF" w:rsidP="00BE6ABF">
            <w:pPr>
              <w:pStyle w:val="TableHeadingCenter"/>
            </w:pPr>
            <w:r w:rsidRPr="0018475F">
              <w:rPr>
                <w:bCs/>
                <w:lang w:val="sk"/>
              </w:rPr>
              <w:lastRenderedPageBreak/>
              <w:t>Protilátka (primárna)</w:t>
            </w:r>
          </w:p>
        </w:tc>
        <w:tc>
          <w:tcPr>
            <w:tcW w:w="1788" w:type="dxa"/>
            <w:vAlign w:val="center"/>
          </w:tcPr>
          <w:p w14:paraId="35EBBDF0" w14:textId="77777777" w:rsidR="00BE6ABF" w:rsidRPr="0018475F" w:rsidRDefault="00BE6ABF" w:rsidP="00BE6ABF">
            <w:pPr>
              <w:pStyle w:val="TableTextCentered"/>
            </w:pPr>
            <w:r w:rsidRPr="0018475F">
              <w:rPr>
                <w:lang w:val="sk"/>
              </w:rPr>
              <w:t xml:space="preserve">12 minút, </w:t>
            </w:r>
            <w:r w:rsidRPr="0018475F">
              <w:rPr>
                <w:lang w:val="sk"/>
              </w:rPr>
              <w:br/>
              <w:t>37 °C</w:t>
            </w:r>
          </w:p>
        </w:tc>
        <w:tc>
          <w:tcPr>
            <w:tcW w:w="1803" w:type="dxa"/>
            <w:vAlign w:val="center"/>
          </w:tcPr>
          <w:p w14:paraId="2FE2651F" w14:textId="77777777" w:rsidR="00BE6ABF" w:rsidRPr="0018475F" w:rsidRDefault="00BE6ABF" w:rsidP="00BE6ABF">
            <w:pPr>
              <w:pStyle w:val="TableTextCentered"/>
            </w:pPr>
            <w:r w:rsidRPr="0018475F">
              <w:rPr>
                <w:lang w:val="sk"/>
              </w:rPr>
              <w:t xml:space="preserve">12 minút, </w:t>
            </w:r>
            <w:r w:rsidRPr="0018475F">
              <w:rPr>
                <w:lang w:val="sk"/>
              </w:rPr>
              <w:br/>
              <w:t>36 °C</w:t>
            </w:r>
          </w:p>
        </w:tc>
      </w:tr>
      <w:tr w:rsidR="00BE6ABF" w:rsidRPr="0018475F" w14:paraId="0A680777" w14:textId="77777777" w:rsidTr="00BE6ABF">
        <w:tc>
          <w:tcPr>
            <w:tcW w:w="1622" w:type="dxa"/>
            <w:vAlign w:val="center"/>
          </w:tcPr>
          <w:p w14:paraId="22391FE1" w14:textId="77777777" w:rsidR="00BE6ABF" w:rsidRPr="0018475F" w:rsidRDefault="00BE6ABF" w:rsidP="00BE6ABF">
            <w:pPr>
              <w:pStyle w:val="TableHeadingCenter"/>
            </w:pPr>
            <w:r w:rsidRPr="0018475F">
              <w:rPr>
                <w:bCs/>
                <w:lang w:val="sk"/>
              </w:rPr>
              <w:t>2. možnosť</w:t>
            </w:r>
            <w:r w:rsidRPr="0018475F">
              <w:rPr>
                <w:rStyle w:val="Reference"/>
                <w:bCs/>
                <w:lang w:val="sk"/>
              </w:rPr>
              <w:t>b</w:t>
            </w:r>
          </w:p>
        </w:tc>
        <w:tc>
          <w:tcPr>
            <w:tcW w:w="3591" w:type="dxa"/>
            <w:gridSpan w:val="2"/>
            <w:vAlign w:val="center"/>
          </w:tcPr>
          <w:p w14:paraId="0488AD2B" w14:textId="77777777" w:rsidR="00BE6ABF" w:rsidRPr="0018475F" w:rsidRDefault="00BE6ABF" w:rsidP="00BE6ABF">
            <w:pPr>
              <w:pStyle w:val="TableTextCentered"/>
            </w:pPr>
            <w:r w:rsidRPr="0018475F">
              <w:rPr>
                <w:lang w:val="sk"/>
              </w:rPr>
              <w:t>8 minút</w:t>
            </w:r>
          </w:p>
        </w:tc>
      </w:tr>
      <w:tr w:rsidR="00BE6ABF" w:rsidRPr="0018475F" w14:paraId="7F96E36E" w14:textId="77777777" w:rsidTr="00BE6ABF">
        <w:tc>
          <w:tcPr>
            <w:tcW w:w="1622" w:type="dxa"/>
            <w:vAlign w:val="center"/>
          </w:tcPr>
          <w:p w14:paraId="53F32696" w14:textId="77777777" w:rsidR="00BE6ABF" w:rsidRPr="0018475F" w:rsidRDefault="00BE6ABF" w:rsidP="00BE6ABF">
            <w:pPr>
              <w:pStyle w:val="TableHeadingCenter"/>
            </w:pPr>
            <w:r w:rsidRPr="0018475F">
              <w:rPr>
                <w:bCs/>
                <w:lang w:val="sk"/>
              </w:rPr>
              <w:t>OptiView HQ Linker</w:t>
            </w:r>
          </w:p>
        </w:tc>
        <w:tc>
          <w:tcPr>
            <w:tcW w:w="3591" w:type="dxa"/>
            <w:gridSpan w:val="2"/>
            <w:vAlign w:val="center"/>
          </w:tcPr>
          <w:p w14:paraId="321C37D6" w14:textId="77777777" w:rsidR="00BE6ABF" w:rsidRPr="0018475F" w:rsidRDefault="00BE6ABF" w:rsidP="00BE6ABF">
            <w:pPr>
              <w:pStyle w:val="TableTextCentered"/>
            </w:pPr>
            <w:r w:rsidRPr="0018475F">
              <w:rPr>
                <w:lang w:val="sk"/>
              </w:rPr>
              <w:t>8 minút (východiskové)</w:t>
            </w:r>
          </w:p>
        </w:tc>
      </w:tr>
      <w:tr w:rsidR="00BE6ABF" w:rsidRPr="0018475F" w14:paraId="368DFBFF" w14:textId="77777777" w:rsidTr="00BE6ABF">
        <w:tc>
          <w:tcPr>
            <w:tcW w:w="1622" w:type="dxa"/>
            <w:vAlign w:val="center"/>
          </w:tcPr>
          <w:p w14:paraId="5A9FF93B" w14:textId="77777777" w:rsidR="00BE6ABF" w:rsidRPr="0018475F" w:rsidRDefault="00BE6ABF" w:rsidP="00BE6ABF">
            <w:pPr>
              <w:pStyle w:val="TableHeadingCenter"/>
            </w:pPr>
            <w:r w:rsidRPr="0018475F">
              <w:rPr>
                <w:bCs/>
                <w:lang w:val="sk"/>
              </w:rPr>
              <w:t>OptiView HRP Multimer</w:t>
            </w:r>
          </w:p>
        </w:tc>
        <w:tc>
          <w:tcPr>
            <w:tcW w:w="3591" w:type="dxa"/>
            <w:gridSpan w:val="2"/>
            <w:vAlign w:val="center"/>
          </w:tcPr>
          <w:p w14:paraId="46293974" w14:textId="77777777" w:rsidR="00BE6ABF" w:rsidRPr="0018475F" w:rsidRDefault="00BE6ABF" w:rsidP="00BE6ABF">
            <w:pPr>
              <w:pStyle w:val="TableTextCentered"/>
            </w:pPr>
            <w:r w:rsidRPr="0018475F">
              <w:rPr>
                <w:lang w:val="sk"/>
              </w:rPr>
              <w:t>8 minút (východiskové)</w:t>
            </w:r>
          </w:p>
        </w:tc>
      </w:tr>
      <w:tr w:rsidR="00BE6ABF" w:rsidRPr="0018475F" w14:paraId="12EA1650" w14:textId="77777777" w:rsidTr="00BE6ABF">
        <w:tc>
          <w:tcPr>
            <w:tcW w:w="1622" w:type="dxa"/>
            <w:vAlign w:val="center"/>
          </w:tcPr>
          <w:p w14:paraId="00092BD9" w14:textId="77777777" w:rsidR="00BE6ABF" w:rsidRPr="0018475F" w:rsidRDefault="00BE6ABF" w:rsidP="00BE6ABF">
            <w:pPr>
              <w:pStyle w:val="TableHeadingCenter"/>
            </w:pPr>
            <w:r w:rsidRPr="0018475F">
              <w:rPr>
                <w:bCs/>
                <w:lang w:val="sk"/>
              </w:rPr>
              <w:t>Kontrastné farbivo</w:t>
            </w:r>
          </w:p>
        </w:tc>
        <w:tc>
          <w:tcPr>
            <w:tcW w:w="3591" w:type="dxa"/>
            <w:gridSpan w:val="2"/>
            <w:vAlign w:val="center"/>
          </w:tcPr>
          <w:p w14:paraId="7AE3DEDF" w14:textId="77777777" w:rsidR="00BE6ABF" w:rsidRPr="0018475F" w:rsidRDefault="00BE6ABF" w:rsidP="00BE6ABF">
            <w:pPr>
              <w:pStyle w:val="TableTextCentered"/>
            </w:pPr>
            <w:r w:rsidRPr="0018475F">
              <w:rPr>
                <w:lang w:val="sk"/>
              </w:rPr>
              <w:t>Hematoxylin II, 4 minúty</w:t>
            </w:r>
          </w:p>
        </w:tc>
      </w:tr>
      <w:tr w:rsidR="00BE6ABF" w:rsidRPr="0018475F" w14:paraId="0B228975" w14:textId="77777777" w:rsidTr="00BE6ABF">
        <w:tc>
          <w:tcPr>
            <w:tcW w:w="1622" w:type="dxa"/>
            <w:vAlign w:val="center"/>
          </w:tcPr>
          <w:p w14:paraId="3966C192" w14:textId="77777777" w:rsidR="00BE6ABF" w:rsidRPr="0018475F" w:rsidRDefault="00BE6ABF" w:rsidP="00BE6ABF">
            <w:pPr>
              <w:pStyle w:val="TableHeadingCenter"/>
            </w:pPr>
            <w:r w:rsidRPr="0018475F">
              <w:rPr>
                <w:bCs/>
                <w:lang w:val="sk"/>
              </w:rPr>
              <w:t>Následné kontrastné farbivo</w:t>
            </w:r>
          </w:p>
        </w:tc>
        <w:tc>
          <w:tcPr>
            <w:tcW w:w="3591" w:type="dxa"/>
            <w:gridSpan w:val="2"/>
            <w:vAlign w:val="center"/>
          </w:tcPr>
          <w:p w14:paraId="361CD4F5" w14:textId="77777777" w:rsidR="00BE6ABF" w:rsidRPr="0018475F" w:rsidRDefault="00BE6ABF" w:rsidP="00BE6ABF">
            <w:pPr>
              <w:pStyle w:val="TableTextCentered"/>
            </w:pPr>
            <w:r w:rsidRPr="0018475F">
              <w:rPr>
                <w:lang w:val="sk"/>
              </w:rPr>
              <w:t>Bluing, 4 minúty</w:t>
            </w:r>
          </w:p>
        </w:tc>
      </w:tr>
    </w:tbl>
    <w:p w14:paraId="470007CC" w14:textId="77777777" w:rsidR="00BE6ABF" w:rsidRPr="0018475F" w:rsidRDefault="00BE6ABF" w:rsidP="00BE6ABF">
      <w:pPr>
        <w:pStyle w:val="BodyText"/>
      </w:pPr>
      <w:r w:rsidRPr="0018475F">
        <w:rPr>
          <w:rStyle w:val="Reference"/>
          <w:lang w:val="sk"/>
        </w:rPr>
        <w:t>a</w:t>
      </w:r>
      <w:r w:rsidRPr="0018475F">
        <w:rPr>
          <w:lang w:val="sk"/>
        </w:rPr>
        <w:t xml:space="preserve"> Medzi prístrojmi BenchMark ULTRA a BenchMark ULTRA PLUS bola pomocou reprezentatívnych analýz preukázaná zhoda.</w:t>
      </w:r>
      <w:r w:rsidRPr="0018475F">
        <w:rPr>
          <w:lang w:val="sk"/>
        </w:rPr>
        <w:br/>
      </w:r>
      <w:r w:rsidRPr="0018475F">
        <w:rPr>
          <w:rStyle w:val="Reference"/>
          <w:lang w:val="sk"/>
        </w:rPr>
        <w:t>b</w:t>
      </w:r>
      <w:r w:rsidRPr="0018475F">
        <w:rPr>
          <w:lang w:val="sk"/>
        </w:rPr>
        <w:t xml:space="preserve"> 2. možnosť – použitie VENTANA Antibody Diluent with Casein.</w:t>
      </w:r>
    </w:p>
    <w:p w14:paraId="67380316" w14:textId="77777777" w:rsidR="00BE6ABF" w:rsidRPr="0018475F" w:rsidRDefault="00BE6ABF" w:rsidP="00BE6ABF">
      <w:pPr>
        <w:pStyle w:val="BodyText"/>
      </w:pPr>
    </w:p>
    <w:p w14:paraId="6ADB44FF" w14:textId="77777777" w:rsidR="00BE6ABF" w:rsidRPr="0018475F" w:rsidRDefault="00BE6ABF" w:rsidP="00BE6ABF">
      <w:pPr>
        <w:pStyle w:val="BodyText"/>
      </w:pPr>
      <w:r w:rsidRPr="0018475F">
        <w:rPr>
          <w:lang w:val="sk"/>
        </w:rPr>
        <w:t>Vzhľadom na variáciu vo fixácii a spracovaní tkaniva a všeobecné laboratórne prístroje a podmienky prostredia môže byť nutné zvýšiť alebo znížiť inkubáciu primárnych protilátok, úpravu buniek alebo predúpravu proteáz na základe individuálnych vzoriek, použitej detekcie a preferencii čitateľa. Ďalšie informácie o premenných fixácie nájdete v časti „Immunohistochemistry Principles and Advances.“</w:t>
      </w:r>
      <w:r w:rsidRPr="0018475F">
        <w:rPr>
          <w:rStyle w:val="Reference"/>
          <w:lang w:val="sk"/>
        </w:rPr>
        <w:t xml:space="preserve">7 </w:t>
      </w:r>
    </w:p>
    <w:p w14:paraId="78F2DAF3" w14:textId="77777777" w:rsidR="00BE6ABF" w:rsidRPr="0018475F" w:rsidRDefault="00BE6ABF" w:rsidP="00BE6ABF">
      <w:pPr>
        <w:pStyle w:val="Heading1"/>
      </w:pPr>
      <w:r w:rsidRPr="0018475F">
        <w:rPr>
          <w:bCs/>
          <w:lang w:val="sk"/>
        </w:rPr>
        <w:t>NEGATÍVNA KONTROLNÁ REAGENCIA</w:t>
      </w:r>
    </w:p>
    <w:p w14:paraId="17C6A746" w14:textId="77777777" w:rsidR="00BE6ABF" w:rsidRPr="0018475F" w:rsidRDefault="00BE6ABF" w:rsidP="00BE6ABF">
      <w:pPr>
        <w:pStyle w:val="BodyText"/>
      </w:pPr>
      <w:r w:rsidRPr="0018475F">
        <w:rPr>
          <w:lang w:val="sk"/>
        </w:rPr>
        <w:t>Okrem farbenia pomocou protilátky CONFIRM anti-S100 (Polyclonal) je nutné zafarbiť druhé sklíčko príslušnou negatívnou kontrolou.</w:t>
      </w:r>
    </w:p>
    <w:p w14:paraId="3B0BD9CF" w14:textId="77777777" w:rsidR="00BE6ABF" w:rsidRPr="0018475F" w:rsidRDefault="00BE6ABF" w:rsidP="00BE6ABF">
      <w:pPr>
        <w:pStyle w:val="Heading1"/>
      </w:pPr>
      <w:r w:rsidRPr="0018475F">
        <w:rPr>
          <w:bCs/>
          <w:lang w:val="sk"/>
        </w:rPr>
        <w:t>Pozitívna kontrola tkaniva</w:t>
      </w:r>
    </w:p>
    <w:p w14:paraId="50AFA893" w14:textId="77777777" w:rsidR="00BE6ABF" w:rsidRPr="0018475F" w:rsidRDefault="00BE6ABF" w:rsidP="00BE6ABF">
      <w:pPr>
        <w:pStyle w:val="BodyText"/>
        <w:rPr>
          <w:lang w:val="sk"/>
        </w:rPr>
      </w:pPr>
      <w:r w:rsidRPr="0018475F">
        <w:rPr>
          <w:lang w:val="sk"/>
        </w:rPr>
        <w:t>Optimálna laboratórna prax má zahŕňať pozitívny kontrolný rez na tom istom sklíčku, ako je testované tkanivo. Táto prax pomáha identifikovať pochybenie pri nanášaní reagencií na sklíčko. Na kontrolu kvality je najvhodnejšie tkanivo so slabým pozitívnym farbením. Kontrolné tkanivo môže obsahovať pozitívne alebo negatívne sa farbiace prvky a môže slúžiť ako tkanivo na pozitívnu aj negatívnu kontrolu. Kontrolné tkanivo musí byť nová autopsia, biopsia alebo chirurgická vzorka pripravená či fixovaná čo najskôr rovnakým spôsobom ako testované rezy.</w:t>
      </w:r>
    </w:p>
    <w:p w14:paraId="7DE2E917" w14:textId="77777777" w:rsidR="00BE6ABF" w:rsidRPr="0018475F" w:rsidRDefault="00BE6ABF" w:rsidP="00BE6ABF">
      <w:pPr>
        <w:pStyle w:val="BodyText"/>
        <w:rPr>
          <w:lang w:val="sk"/>
        </w:rPr>
      </w:pPr>
      <w:r w:rsidRPr="0018475F">
        <w:rPr>
          <w:lang w:val="sk"/>
        </w:rPr>
        <w:t>Známe pozitívne kontroly tkaniva sa majú používať len na sledovanie funkcie reagencií a prístrojov, nie ako pomôcka pri stanovení konkrétnej diagnózy testovacích vzoriek. Ak pozitívne kontrolné tkanivo nepreukáže pozitívne zafarbenie, výsledky testovacej vzorky treba považovať za neplatné.</w:t>
      </w:r>
    </w:p>
    <w:p w14:paraId="05150175" w14:textId="77777777" w:rsidR="00BE6ABF" w:rsidRPr="0018475F" w:rsidRDefault="00BE6ABF" w:rsidP="00BE6ABF">
      <w:pPr>
        <w:pStyle w:val="BodyText"/>
        <w:rPr>
          <w:lang w:val="sk"/>
        </w:rPr>
      </w:pPr>
      <w:r w:rsidRPr="0018475F">
        <w:rPr>
          <w:lang w:val="sk"/>
        </w:rPr>
        <w:t>Odporúčané pozitívne kontrolné tkanivo je apendix. Schwannove bunky v periférnych nervových vláknach, gangliové satelitné bunky muscularis propria (vrstva svaloviny) a submukóza majú byť silno pozitívne ako aj adipocyty a dendritické bunky a makrofágy v lamina propria (vrstva väziva). Epitelové bunky majú byť negatívne.</w:t>
      </w:r>
    </w:p>
    <w:p w14:paraId="11E5A0C6" w14:textId="77777777" w:rsidR="00BE6ABF" w:rsidRPr="0018475F" w:rsidRDefault="00BE6ABF" w:rsidP="00BE6ABF">
      <w:pPr>
        <w:pStyle w:val="Heading1"/>
        <w:rPr>
          <w:lang w:val="sk"/>
        </w:rPr>
      </w:pPr>
      <w:r w:rsidRPr="0018475F">
        <w:rPr>
          <w:bCs/>
          <w:lang w:val="sk"/>
        </w:rPr>
        <w:t>Interpretácia farbenia/očakávané výsledky</w:t>
      </w:r>
    </w:p>
    <w:p w14:paraId="31559968" w14:textId="77777777" w:rsidR="00BE6ABF" w:rsidRPr="0018475F" w:rsidRDefault="00BE6ABF" w:rsidP="00BE6ABF">
      <w:pPr>
        <w:pStyle w:val="BodyText"/>
        <w:rPr>
          <w:lang w:val="sk"/>
        </w:rPr>
      </w:pPr>
      <w:r w:rsidRPr="0018475F">
        <w:rPr>
          <w:lang w:val="sk"/>
        </w:rPr>
        <w:t>Vzor bunkového farbenia pre protilátku CONFIRM anti-S100 (Polyclonal) je nukleárny a cytoplazmatický.</w:t>
      </w:r>
    </w:p>
    <w:p w14:paraId="3BEAFD94" w14:textId="77777777" w:rsidR="00BE6ABF" w:rsidRPr="0018475F" w:rsidRDefault="00BE6ABF" w:rsidP="00BE6ABF">
      <w:pPr>
        <w:pStyle w:val="Heading1"/>
        <w:rPr>
          <w:lang w:val="sk"/>
        </w:rPr>
      </w:pPr>
      <w:r w:rsidRPr="0018475F">
        <w:rPr>
          <w:bCs/>
          <w:lang w:val="sk"/>
        </w:rPr>
        <w:t>Špecifické obmedzenia</w:t>
      </w:r>
    </w:p>
    <w:p w14:paraId="410EE597" w14:textId="77777777" w:rsidR="00BE6ABF" w:rsidRPr="0018475F" w:rsidRDefault="00BE6ABF" w:rsidP="00BE6ABF">
      <w:pPr>
        <w:pStyle w:val="BodyText"/>
        <w:rPr>
          <w:lang w:val="sk"/>
        </w:rPr>
      </w:pPr>
      <w:r w:rsidRPr="0018475F">
        <w:rPr>
          <w:lang w:val="sk"/>
        </w:rPr>
        <w:t>Detekčný systém OptiView Detection je všeobecne citlivejší než iné detekčné systémy. Používateľ musí validovať výsledky získané pomocou tejto reagencie a detekčných systémov.</w:t>
      </w:r>
    </w:p>
    <w:p w14:paraId="738AAEFD" w14:textId="77777777" w:rsidR="00BE6ABF" w:rsidRPr="0018475F" w:rsidRDefault="00BE6ABF" w:rsidP="00BE6ABF">
      <w:pPr>
        <w:pStyle w:val="BodyText"/>
        <w:rPr>
          <w:lang w:val="sk"/>
        </w:rPr>
      </w:pPr>
      <w:r w:rsidRPr="0018475F">
        <w:rPr>
          <w:lang w:val="sk"/>
        </w:rPr>
        <w:t>Všetky analýzy sa nemusia zaregistrovať na každom prístroji. Ak chcete získať ďalšie informácie, obráťte sa na miestneho zástupcu spoločnosti Roche.</w:t>
      </w:r>
    </w:p>
    <w:p w14:paraId="2A6817A6" w14:textId="77777777" w:rsidR="00BE6ABF" w:rsidRPr="0018475F" w:rsidRDefault="00BE6ABF" w:rsidP="00BE6ABF">
      <w:pPr>
        <w:pStyle w:val="Heading1"/>
        <w:rPr>
          <w:lang w:val="sk"/>
        </w:rPr>
      </w:pPr>
      <w:r w:rsidRPr="0018475F">
        <w:rPr>
          <w:bCs/>
          <w:lang w:val="sk"/>
        </w:rPr>
        <w:t>Charakteristika výkonu</w:t>
      </w:r>
    </w:p>
    <w:p w14:paraId="765FF8F8" w14:textId="77777777" w:rsidR="00BE6ABF" w:rsidRPr="0018475F" w:rsidRDefault="00BE6ABF" w:rsidP="00BE6ABF">
      <w:pPr>
        <w:pStyle w:val="Heading1"/>
        <w:rPr>
          <w:lang w:val="sk"/>
        </w:rPr>
      </w:pPr>
      <w:r w:rsidRPr="0018475F">
        <w:rPr>
          <w:bCs/>
          <w:lang w:val="sk"/>
        </w:rPr>
        <w:t>Analytická účinnosť</w:t>
      </w:r>
    </w:p>
    <w:p w14:paraId="5ADF2EBD" w14:textId="77777777" w:rsidR="00BE6ABF" w:rsidRPr="0018475F" w:rsidRDefault="00BE6ABF" w:rsidP="00BE6ABF">
      <w:pPr>
        <w:pStyle w:val="BodyText"/>
        <w:rPr>
          <w:lang w:val="sk"/>
        </w:rPr>
      </w:pPr>
      <w:r w:rsidRPr="0018475F">
        <w:rPr>
          <w:lang w:val="sk"/>
        </w:rPr>
        <w:t>Vykonali sa testy farbenia na zistenie citlivosti, špecifickosti a presnosti a výsledky sú uvedené nižšie.</w:t>
      </w:r>
    </w:p>
    <w:p w14:paraId="3F10F12F" w14:textId="77777777" w:rsidR="00BE6ABF" w:rsidRPr="0018475F" w:rsidRDefault="00BE6ABF" w:rsidP="00BE6ABF">
      <w:pPr>
        <w:pStyle w:val="Heading2"/>
      </w:pPr>
      <w:r w:rsidRPr="0018475F">
        <w:rPr>
          <w:bCs/>
          <w:lang w:val="sk"/>
        </w:rPr>
        <w:t>Citlivosť a špecifickosť</w:t>
      </w:r>
    </w:p>
    <w:p w14:paraId="080180D4" w14:textId="77777777" w:rsidR="00BE6ABF" w:rsidRPr="0018475F" w:rsidRDefault="00BE6ABF" w:rsidP="00BE6ABF">
      <w:pPr>
        <w:pStyle w:val="TableNumberAuto"/>
      </w:pPr>
      <w:bookmarkStart w:id="8" w:name="_Ref513455480"/>
      <w:bookmarkStart w:id="9" w:name="_Ref274811345"/>
      <w:r w:rsidRPr="0018475F">
        <w:rPr>
          <w:lang w:val="sk"/>
        </w:rPr>
        <w:t>Citlivosť/špecifickosť protilátky CONFIRM anti-S100 (Polyclonal) sa stanovila pomocou FFPE normálnych tkanív.</w:t>
      </w:r>
      <w:bookmarkEnd w:id="8"/>
      <w:r w:rsidRPr="0018475F">
        <w:rPr>
          <w:lang w:val="sk"/>
        </w:rPr>
        <w:t xml:space="preserve"> </w:t>
      </w:r>
    </w:p>
    <w:tbl>
      <w:tblPr>
        <w:tblW w:w="5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4"/>
        <w:gridCol w:w="1276"/>
        <w:gridCol w:w="1134"/>
        <w:gridCol w:w="1676"/>
      </w:tblGrid>
      <w:tr w:rsidR="00BE6ABF" w:rsidRPr="0018475F" w14:paraId="74E724E3" w14:textId="77777777" w:rsidTr="0018475F">
        <w:trPr>
          <w:tblHeader/>
        </w:trPr>
        <w:tc>
          <w:tcPr>
            <w:tcW w:w="1124" w:type="dxa"/>
            <w:shd w:val="clear" w:color="auto" w:fill="C0C0C0"/>
            <w:vAlign w:val="bottom"/>
          </w:tcPr>
          <w:bookmarkEnd w:id="9"/>
          <w:p w14:paraId="3CB7F5F2" w14:textId="77777777" w:rsidR="00BE6ABF" w:rsidRPr="0018475F" w:rsidRDefault="00BE6ABF" w:rsidP="00BE6ABF">
            <w:pPr>
              <w:pStyle w:val="TableHeadLeft"/>
            </w:pPr>
            <w:r w:rsidRPr="0018475F">
              <w:rPr>
                <w:bCs/>
                <w:lang w:val="sk"/>
              </w:rPr>
              <w:t>Tkanivo</w:t>
            </w:r>
            <w:r w:rsidRPr="0018475F">
              <w:rPr>
                <w:rStyle w:val="Reference"/>
                <w:bCs/>
                <w:lang w:val="sk"/>
              </w:rPr>
              <w:t>a</w:t>
            </w:r>
          </w:p>
        </w:tc>
        <w:tc>
          <w:tcPr>
            <w:tcW w:w="1276" w:type="dxa"/>
            <w:tcBorders>
              <w:right w:val="single" w:sz="12" w:space="0" w:color="auto"/>
            </w:tcBorders>
            <w:shd w:val="clear" w:color="auto" w:fill="C0C0C0"/>
          </w:tcPr>
          <w:p w14:paraId="78630FD7" w14:textId="77777777" w:rsidR="00BE6ABF" w:rsidRPr="0018475F" w:rsidRDefault="00BE6ABF" w:rsidP="00BE6ABF">
            <w:pPr>
              <w:pStyle w:val="TableHeadLeft"/>
            </w:pPr>
            <w:r w:rsidRPr="0018475F">
              <w:rPr>
                <w:bCs/>
                <w:lang w:val="sk"/>
              </w:rPr>
              <w:t>Počet pozitívnych/všetkých prípadov</w:t>
            </w:r>
          </w:p>
        </w:tc>
        <w:tc>
          <w:tcPr>
            <w:tcW w:w="1134" w:type="dxa"/>
            <w:tcBorders>
              <w:left w:val="single" w:sz="12" w:space="0" w:color="auto"/>
            </w:tcBorders>
            <w:shd w:val="clear" w:color="auto" w:fill="C0C0C0"/>
            <w:vAlign w:val="bottom"/>
          </w:tcPr>
          <w:p w14:paraId="0B639D86" w14:textId="77777777" w:rsidR="00BE6ABF" w:rsidRPr="0018475F" w:rsidRDefault="00BE6ABF" w:rsidP="00BE6ABF">
            <w:pPr>
              <w:pStyle w:val="TableHeadLeft"/>
            </w:pPr>
            <w:r w:rsidRPr="0018475F">
              <w:rPr>
                <w:bCs/>
                <w:lang w:val="sk"/>
              </w:rPr>
              <w:t>Tkanivo</w:t>
            </w:r>
          </w:p>
        </w:tc>
        <w:tc>
          <w:tcPr>
            <w:tcW w:w="1676" w:type="dxa"/>
            <w:shd w:val="clear" w:color="auto" w:fill="C0C0C0"/>
          </w:tcPr>
          <w:p w14:paraId="079EDF3F" w14:textId="77777777" w:rsidR="00BE6ABF" w:rsidRPr="0018475F" w:rsidRDefault="00BE6ABF" w:rsidP="00BE6ABF">
            <w:pPr>
              <w:pStyle w:val="TableHeadLeft"/>
            </w:pPr>
            <w:r w:rsidRPr="0018475F">
              <w:rPr>
                <w:bCs/>
                <w:lang w:val="sk"/>
              </w:rPr>
              <w:t>Počet pozitívnych/všetkých prípadov</w:t>
            </w:r>
          </w:p>
        </w:tc>
      </w:tr>
      <w:tr w:rsidR="00BE6ABF" w:rsidRPr="0018475F" w14:paraId="64976264" w14:textId="77777777" w:rsidTr="0018475F">
        <w:tc>
          <w:tcPr>
            <w:tcW w:w="1124" w:type="dxa"/>
          </w:tcPr>
          <w:p w14:paraId="627F10B9" w14:textId="77777777" w:rsidR="00BE6ABF" w:rsidRPr="0018475F" w:rsidRDefault="00BE6ABF" w:rsidP="00BE6ABF">
            <w:pPr>
              <w:pStyle w:val="TableTextLeft"/>
            </w:pPr>
            <w:r w:rsidRPr="0018475F">
              <w:rPr>
                <w:lang w:val="sk"/>
              </w:rPr>
              <w:t>Mozog</w:t>
            </w:r>
            <w:r w:rsidRPr="0018475F">
              <w:rPr>
                <w:rStyle w:val="Reference"/>
                <w:lang w:val="sk"/>
              </w:rPr>
              <w:t>b</w:t>
            </w:r>
          </w:p>
        </w:tc>
        <w:tc>
          <w:tcPr>
            <w:tcW w:w="1276" w:type="dxa"/>
            <w:tcBorders>
              <w:right w:val="single" w:sz="12" w:space="0" w:color="auto"/>
            </w:tcBorders>
          </w:tcPr>
          <w:p w14:paraId="3FB17794" w14:textId="77777777" w:rsidR="00BE6ABF" w:rsidRPr="0018475F" w:rsidRDefault="00BE6ABF" w:rsidP="00BE6ABF">
            <w:pPr>
              <w:pStyle w:val="TableTextCentered"/>
            </w:pPr>
            <w:r w:rsidRPr="0018475F">
              <w:rPr>
                <w:lang w:val="sk"/>
              </w:rPr>
              <w:t>3/3</w:t>
            </w:r>
          </w:p>
        </w:tc>
        <w:tc>
          <w:tcPr>
            <w:tcW w:w="1134" w:type="dxa"/>
            <w:tcBorders>
              <w:left w:val="single" w:sz="12" w:space="0" w:color="auto"/>
            </w:tcBorders>
          </w:tcPr>
          <w:p w14:paraId="16453199" w14:textId="77777777" w:rsidR="00BE6ABF" w:rsidRPr="0018475F" w:rsidRDefault="00BE6ABF" w:rsidP="00BE6ABF">
            <w:pPr>
              <w:pStyle w:val="TableTextLeft"/>
            </w:pPr>
            <w:r w:rsidRPr="0018475F">
              <w:rPr>
                <w:lang w:val="sk"/>
              </w:rPr>
              <w:t>Hrubé črevo</w:t>
            </w:r>
          </w:p>
        </w:tc>
        <w:tc>
          <w:tcPr>
            <w:tcW w:w="1676" w:type="dxa"/>
            <w:vAlign w:val="center"/>
          </w:tcPr>
          <w:p w14:paraId="778C8356" w14:textId="77777777" w:rsidR="00BE6ABF" w:rsidRPr="0018475F" w:rsidRDefault="00BE6ABF" w:rsidP="00BE6ABF">
            <w:pPr>
              <w:pStyle w:val="TableTextCentered"/>
            </w:pPr>
            <w:r w:rsidRPr="0018475F">
              <w:rPr>
                <w:lang w:val="sk"/>
              </w:rPr>
              <w:t>0/3</w:t>
            </w:r>
          </w:p>
        </w:tc>
      </w:tr>
      <w:tr w:rsidR="00BE6ABF" w:rsidRPr="0018475F" w14:paraId="2C0AB230" w14:textId="77777777" w:rsidTr="0018475F">
        <w:tc>
          <w:tcPr>
            <w:tcW w:w="1124" w:type="dxa"/>
          </w:tcPr>
          <w:p w14:paraId="1EA682C0" w14:textId="77777777" w:rsidR="00BE6ABF" w:rsidRPr="0018475F" w:rsidRDefault="00BE6ABF" w:rsidP="00BE6ABF">
            <w:pPr>
              <w:pStyle w:val="TableTextLeft"/>
            </w:pPr>
            <w:r w:rsidRPr="0018475F">
              <w:rPr>
                <w:lang w:val="sk"/>
              </w:rPr>
              <w:t>Mozoček</w:t>
            </w:r>
            <w:r w:rsidRPr="0018475F">
              <w:rPr>
                <w:rStyle w:val="Reference"/>
                <w:lang w:val="sk"/>
              </w:rPr>
              <w:t>b</w:t>
            </w:r>
          </w:p>
        </w:tc>
        <w:tc>
          <w:tcPr>
            <w:tcW w:w="1276" w:type="dxa"/>
            <w:tcBorders>
              <w:right w:val="single" w:sz="12" w:space="0" w:color="auto"/>
            </w:tcBorders>
          </w:tcPr>
          <w:p w14:paraId="74F2D338" w14:textId="77777777" w:rsidR="00BE6ABF" w:rsidRPr="0018475F" w:rsidRDefault="00BE6ABF" w:rsidP="00BE6ABF">
            <w:pPr>
              <w:pStyle w:val="TableTextCentered"/>
            </w:pPr>
            <w:r w:rsidRPr="0018475F">
              <w:rPr>
                <w:lang w:val="sk"/>
              </w:rPr>
              <w:t>6/6</w:t>
            </w:r>
          </w:p>
        </w:tc>
        <w:tc>
          <w:tcPr>
            <w:tcW w:w="1134" w:type="dxa"/>
            <w:tcBorders>
              <w:left w:val="single" w:sz="12" w:space="0" w:color="auto"/>
            </w:tcBorders>
          </w:tcPr>
          <w:p w14:paraId="229DF286" w14:textId="77777777" w:rsidR="00BE6ABF" w:rsidRPr="0018475F" w:rsidRDefault="00BE6ABF" w:rsidP="00BE6ABF">
            <w:pPr>
              <w:pStyle w:val="TableTextLeft"/>
            </w:pPr>
            <w:r w:rsidRPr="0018475F">
              <w:rPr>
                <w:lang w:val="sk"/>
              </w:rPr>
              <w:t>Konečník</w:t>
            </w:r>
          </w:p>
        </w:tc>
        <w:tc>
          <w:tcPr>
            <w:tcW w:w="1676" w:type="dxa"/>
            <w:vAlign w:val="center"/>
          </w:tcPr>
          <w:p w14:paraId="206DB6CE" w14:textId="77777777" w:rsidR="00BE6ABF" w:rsidRPr="0018475F" w:rsidRDefault="00BE6ABF" w:rsidP="00BE6ABF">
            <w:pPr>
              <w:pStyle w:val="TableTextCentered"/>
            </w:pPr>
            <w:r w:rsidRPr="0018475F">
              <w:rPr>
                <w:lang w:val="sk"/>
              </w:rPr>
              <w:t>0/3</w:t>
            </w:r>
          </w:p>
        </w:tc>
      </w:tr>
      <w:tr w:rsidR="00BE6ABF" w:rsidRPr="0018475F" w14:paraId="351877BB" w14:textId="77777777" w:rsidTr="0018475F">
        <w:tc>
          <w:tcPr>
            <w:tcW w:w="1124" w:type="dxa"/>
          </w:tcPr>
          <w:p w14:paraId="31629B81" w14:textId="77777777" w:rsidR="00BE6ABF" w:rsidRPr="0018475F" w:rsidRDefault="00BE6ABF" w:rsidP="00BE6ABF">
            <w:pPr>
              <w:pStyle w:val="TableTextLeft"/>
            </w:pPr>
            <w:r w:rsidRPr="0018475F">
              <w:rPr>
                <w:lang w:val="sk"/>
              </w:rPr>
              <w:t>Mozog</w:t>
            </w:r>
            <w:r w:rsidRPr="0018475F">
              <w:rPr>
                <w:rStyle w:val="Reference"/>
                <w:lang w:val="sk"/>
              </w:rPr>
              <w:t>b</w:t>
            </w:r>
          </w:p>
        </w:tc>
        <w:tc>
          <w:tcPr>
            <w:tcW w:w="1276" w:type="dxa"/>
            <w:tcBorders>
              <w:right w:val="single" w:sz="12" w:space="0" w:color="auto"/>
            </w:tcBorders>
          </w:tcPr>
          <w:p w14:paraId="2EF462F4" w14:textId="77777777" w:rsidR="00BE6ABF" w:rsidRPr="0018475F" w:rsidRDefault="00BE6ABF" w:rsidP="00BE6ABF">
            <w:pPr>
              <w:pStyle w:val="TableTextCentered"/>
            </w:pPr>
            <w:r w:rsidRPr="0018475F">
              <w:rPr>
                <w:lang w:val="sk"/>
              </w:rPr>
              <w:t>4/4</w:t>
            </w:r>
          </w:p>
        </w:tc>
        <w:tc>
          <w:tcPr>
            <w:tcW w:w="1134" w:type="dxa"/>
            <w:tcBorders>
              <w:left w:val="single" w:sz="12" w:space="0" w:color="auto"/>
            </w:tcBorders>
          </w:tcPr>
          <w:p w14:paraId="7085023B" w14:textId="77777777" w:rsidR="00BE6ABF" w:rsidRPr="0018475F" w:rsidRDefault="00BE6ABF" w:rsidP="00BE6ABF">
            <w:pPr>
              <w:pStyle w:val="TableTextLeft"/>
            </w:pPr>
            <w:r w:rsidRPr="0018475F">
              <w:rPr>
                <w:lang w:val="sk"/>
              </w:rPr>
              <w:t>Pečeň</w:t>
            </w:r>
          </w:p>
        </w:tc>
        <w:tc>
          <w:tcPr>
            <w:tcW w:w="1676" w:type="dxa"/>
            <w:vAlign w:val="center"/>
          </w:tcPr>
          <w:p w14:paraId="39B3783C" w14:textId="77777777" w:rsidR="00BE6ABF" w:rsidRPr="0018475F" w:rsidRDefault="00BE6ABF" w:rsidP="00BE6ABF">
            <w:pPr>
              <w:pStyle w:val="TableTextCentered"/>
            </w:pPr>
            <w:r w:rsidRPr="0018475F">
              <w:rPr>
                <w:lang w:val="sk"/>
              </w:rPr>
              <w:t>0/4</w:t>
            </w:r>
          </w:p>
        </w:tc>
      </w:tr>
      <w:tr w:rsidR="00BE6ABF" w:rsidRPr="0018475F" w14:paraId="45E53CCE" w14:textId="77777777" w:rsidTr="0018475F">
        <w:tc>
          <w:tcPr>
            <w:tcW w:w="1124" w:type="dxa"/>
          </w:tcPr>
          <w:p w14:paraId="06B603EC" w14:textId="77777777" w:rsidR="00BE6ABF" w:rsidRPr="0018475F" w:rsidRDefault="00BE6ABF" w:rsidP="00BE6ABF">
            <w:pPr>
              <w:pStyle w:val="TableTextLeft"/>
            </w:pPr>
            <w:r w:rsidRPr="0018475F">
              <w:rPr>
                <w:lang w:val="sk"/>
              </w:rPr>
              <w:t>Nadoblička</w:t>
            </w:r>
            <w:r w:rsidRPr="0018475F">
              <w:rPr>
                <w:rStyle w:val="Reference"/>
                <w:lang w:val="sk"/>
              </w:rPr>
              <w:t>c,d</w:t>
            </w:r>
          </w:p>
        </w:tc>
        <w:tc>
          <w:tcPr>
            <w:tcW w:w="1276" w:type="dxa"/>
            <w:tcBorders>
              <w:right w:val="single" w:sz="12" w:space="0" w:color="auto"/>
            </w:tcBorders>
          </w:tcPr>
          <w:p w14:paraId="0FC1370D" w14:textId="77777777" w:rsidR="00BE6ABF" w:rsidRPr="0018475F" w:rsidRDefault="00BE6ABF" w:rsidP="00BE6ABF">
            <w:pPr>
              <w:pStyle w:val="TableTextCentered"/>
            </w:pPr>
            <w:r w:rsidRPr="0018475F">
              <w:rPr>
                <w:lang w:val="sk"/>
              </w:rPr>
              <w:t>1/4</w:t>
            </w:r>
          </w:p>
        </w:tc>
        <w:tc>
          <w:tcPr>
            <w:tcW w:w="1134" w:type="dxa"/>
            <w:tcBorders>
              <w:left w:val="single" w:sz="12" w:space="0" w:color="auto"/>
            </w:tcBorders>
          </w:tcPr>
          <w:p w14:paraId="026997B0" w14:textId="77777777" w:rsidR="00BE6ABF" w:rsidRPr="0018475F" w:rsidRDefault="00BE6ABF" w:rsidP="00BE6ABF">
            <w:pPr>
              <w:pStyle w:val="TableTextLeft"/>
            </w:pPr>
            <w:r w:rsidRPr="0018475F">
              <w:rPr>
                <w:lang w:val="sk"/>
              </w:rPr>
              <w:t>Slinná žľaza</w:t>
            </w:r>
            <w:r w:rsidRPr="0018475F">
              <w:rPr>
                <w:rStyle w:val="Reference"/>
                <w:lang w:val="sk"/>
              </w:rPr>
              <w:t>h</w:t>
            </w:r>
          </w:p>
        </w:tc>
        <w:tc>
          <w:tcPr>
            <w:tcW w:w="1676" w:type="dxa"/>
            <w:vAlign w:val="center"/>
          </w:tcPr>
          <w:p w14:paraId="27ECE3A0" w14:textId="77777777" w:rsidR="00BE6ABF" w:rsidRPr="0018475F" w:rsidRDefault="00BE6ABF" w:rsidP="00BE6ABF">
            <w:pPr>
              <w:pStyle w:val="TableTextCentered"/>
            </w:pPr>
            <w:r w:rsidRPr="0018475F">
              <w:rPr>
                <w:lang w:val="sk"/>
              </w:rPr>
              <w:t>5/5</w:t>
            </w:r>
          </w:p>
        </w:tc>
      </w:tr>
      <w:tr w:rsidR="00BE6ABF" w:rsidRPr="0018475F" w14:paraId="1FF4A0A4" w14:textId="77777777" w:rsidTr="0018475F">
        <w:tc>
          <w:tcPr>
            <w:tcW w:w="1124" w:type="dxa"/>
          </w:tcPr>
          <w:p w14:paraId="065A86DA" w14:textId="77777777" w:rsidR="00BE6ABF" w:rsidRPr="0018475F" w:rsidRDefault="00BE6ABF" w:rsidP="00BE6ABF">
            <w:pPr>
              <w:pStyle w:val="TableTextLeft"/>
            </w:pPr>
            <w:r w:rsidRPr="0018475F">
              <w:rPr>
                <w:lang w:val="sk"/>
              </w:rPr>
              <w:t>Vaječník</w:t>
            </w:r>
          </w:p>
        </w:tc>
        <w:tc>
          <w:tcPr>
            <w:tcW w:w="1276" w:type="dxa"/>
            <w:tcBorders>
              <w:right w:val="single" w:sz="12" w:space="0" w:color="auto"/>
            </w:tcBorders>
          </w:tcPr>
          <w:p w14:paraId="59F40EC5" w14:textId="77777777" w:rsidR="00BE6ABF" w:rsidRPr="0018475F" w:rsidRDefault="00BE6ABF" w:rsidP="00BE6ABF">
            <w:pPr>
              <w:pStyle w:val="TableTextCentered"/>
            </w:pPr>
            <w:r w:rsidRPr="0018475F">
              <w:rPr>
                <w:lang w:val="sk"/>
              </w:rPr>
              <w:t>0/4</w:t>
            </w:r>
          </w:p>
        </w:tc>
        <w:tc>
          <w:tcPr>
            <w:tcW w:w="1134" w:type="dxa"/>
            <w:tcBorders>
              <w:left w:val="single" w:sz="12" w:space="0" w:color="auto"/>
            </w:tcBorders>
          </w:tcPr>
          <w:p w14:paraId="02E7708A" w14:textId="77777777" w:rsidR="00BE6ABF" w:rsidRPr="0018475F" w:rsidRDefault="00BE6ABF" w:rsidP="00BE6ABF">
            <w:pPr>
              <w:pStyle w:val="TableTextLeft"/>
            </w:pPr>
            <w:r w:rsidRPr="0018475F">
              <w:rPr>
                <w:lang w:val="sk"/>
              </w:rPr>
              <w:t>Oblička</w:t>
            </w:r>
          </w:p>
        </w:tc>
        <w:tc>
          <w:tcPr>
            <w:tcW w:w="1676" w:type="dxa"/>
            <w:vAlign w:val="center"/>
          </w:tcPr>
          <w:p w14:paraId="03D510DD" w14:textId="77777777" w:rsidR="00BE6ABF" w:rsidRPr="0018475F" w:rsidRDefault="00BE6ABF" w:rsidP="00BE6ABF">
            <w:pPr>
              <w:pStyle w:val="TableTextCentered"/>
            </w:pPr>
            <w:r w:rsidRPr="0018475F">
              <w:rPr>
                <w:lang w:val="sk"/>
              </w:rPr>
              <w:t>0/6</w:t>
            </w:r>
          </w:p>
        </w:tc>
      </w:tr>
      <w:tr w:rsidR="00BE6ABF" w:rsidRPr="0018475F" w14:paraId="33A4B453" w14:textId="77777777" w:rsidTr="0018475F">
        <w:tc>
          <w:tcPr>
            <w:tcW w:w="1124" w:type="dxa"/>
          </w:tcPr>
          <w:p w14:paraId="06C38073" w14:textId="77777777" w:rsidR="00BE6ABF" w:rsidRPr="0018475F" w:rsidRDefault="00BE6ABF" w:rsidP="00BE6ABF">
            <w:pPr>
              <w:pStyle w:val="TableTextLeft"/>
            </w:pPr>
            <w:r w:rsidRPr="0018475F">
              <w:rPr>
                <w:lang w:val="sk"/>
              </w:rPr>
              <w:t>Pankreas</w:t>
            </w:r>
            <w:r w:rsidRPr="0018475F">
              <w:rPr>
                <w:rStyle w:val="Reference"/>
                <w:lang w:val="sk"/>
              </w:rPr>
              <w:t>e</w:t>
            </w:r>
          </w:p>
        </w:tc>
        <w:tc>
          <w:tcPr>
            <w:tcW w:w="1276" w:type="dxa"/>
            <w:tcBorders>
              <w:right w:val="single" w:sz="12" w:space="0" w:color="auto"/>
            </w:tcBorders>
          </w:tcPr>
          <w:p w14:paraId="15236DF2" w14:textId="77777777" w:rsidR="00BE6ABF" w:rsidRPr="0018475F" w:rsidRDefault="00BE6ABF" w:rsidP="00BE6ABF">
            <w:pPr>
              <w:pStyle w:val="TableTextCentered"/>
            </w:pPr>
            <w:r w:rsidRPr="0018475F">
              <w:rPr>
                <w:lang w:val="sk"/>
              </w:rPr>
              <w:t>3/4</w:t>
            </w:r>
          </w:p>
        </w:tc>
        <w:tc>
          <w:tcPr>
            <w:tcW w:w="1134" w:type="dxa"/>
            <w:tcBorders>
              <w:left w:val="single" w:sz="12" w:space="0" w:color="auto"/>
            </w:tcBorders>
          </w:tcPr>
          <w:p w14:paraId="0B3D948D" w14:textId="77777777" w:rsidR="00BE6ABF" w:rsidRPr="0018475F" w:rsidRDefault="00BE6ABF" w:rsidP="00BE6ABF">
            <w:pPr>
              <w:pStyle w:val="TableTextLeft"/>
            </w:pPr>
            <w:r w:rsidRPr="0018475F">
              <w:rPr>
                <w:lang w:val="sk"/>
              </w:rPr>
              <w:t>Prostata</w:t>
            </w:r>
            <w:r w:rsidRPr="0018475F">
              <w:rPr>
                <w:rStyle w:val="Reference"/>
                <w:lang w:val="sk"/>
              </w:rPr>
              <w:t>c</w:t>
            </w:r>
          </w:p>
        </w:tc>
        <w:tc>
          <w:tcPr>
            <w:tcW w:w="1676" w:type="dxa"/>
            <w:vAlign w:val="center"/>
          </w:tcPr>
          <w:p w14:paraId="5478A6D2" w14:textId="77777777" w:rsidR="00BE6ABF" w:rsidRPr="0018475F" w:rsidRDefault="00BE6ABF" w:rsidP="00BE6ABF">
            <w:pPr>
              <w:pStyle w:val="TableTextCentered"/>
            </w:pPr>
            <w:r w:rsidRPr="0018475F">
              <w:rPr>
                <w:lang w:val="sk"/>
              </w:rPr>
              <w:t>0/4</w:t>
            </w:r>
          </w:p>
        </w:tc>
      </w:tr>
      <w:tr w:rsidR="00BE6ABF" w:rsidRPr="0018475F" w14:paraId="04C24A9B" w14:textId="77777777" w:rsidTr="0018475F">
        <w:tc>
          <w:tcPr>
            <w:tcW w:w="1124" w:type="dxa"/>
          </w:tcPr>
          <w:p w14:paraId="50A690D8" w14:textId="77777777" w:rsidR="00BE6ABF" w:rsidRPr="0018475F" w:rsidRDefault="00BE6ABF" w:rsidP="00BE6ABF">
            <w:pPr>
              <w:pStyle w:val="TableTextLeft"/>
            </w:pPr>
            <w:r w:rsidRPr="0018475F">
              <w:rPr>
                <w:lang w:val="sk"/>
              </w:rPr>
              <w:t>Prištítne teliesko</w:t>
            </w:r>
          </w:p>
        </w:tc>
        <w:tc>
          <w:tcPr>
            <w:tcW w:w="1276" w:type="dxa"/>
            <w:tcBorders>
              <w:right w:val="single" w:sz="12" w:space="0" w:color="auto"/>
            </w:tcBorders>
          </w:tcPr>
          <w:p w14:paraId="210F8D41" w14:textId="77777777" w:rsidR="00BE6ABF" w:rsidRPr="0018475F" w:rsidRDefault="00BE6ABF" w:rsidP="00BE6ABF">
            <w:pPr>
              <w:pStyle w:val="TableTextCentered"/>
            </w:pPr>
            <w:r w:rsidRPr="0018475F">
              <w:rPr>
                <w:lang w:val="sk"/>
              </w:rPr>
              <w:t>0/5</w:t>
            </w:r>
          </w:p>
        </w:tc>
        <w:tc>
          <w:tcPr>
            <w:tcW w:w="1134" w:type="dxa"/>
            <w:tcBorders>
              <w:left w:val="single" w:sz="12" w:space="0" w:color="auto"/>
            </w:tcBorders>
          </w:tcPr>
          <w:p w14:paraId="6CAAC7D5" w14:textId="77777777" w:rsidR="00BE6ABF" w:rsidRPr="0018475F" w:rsidRDefault="00BE6ABF" w:rsidP="00BE6ABF">
            <w:pPr>
              <w:pStyle w:val="TableTextLeft"/>
            </w:pPr>
            <w:r w:rsidRPr="0018475F">
              <w:rPr>
                <w:lang w:val="sk"/>
              </w:rPr>
              <w:t>Močový mechúr</w:t>
            </w:r>
          </w:p>
        </w:tc>
        <w:tc>
          <w:tcPr>
            <w:tcW w:w="1676" w:type="dxa"/>
            <w:vAlign w:val="center"/>
          </w:tcPr>
          <w:p w14:paraId="6EC132AF" w14:textId="77777777" w:rsidR="00BE6ABF" w:rsidRPr="0018475F" w:rsidRDefault="00BE6ABF" w:rsidP="00BE6ABF">
            <w:pPr>
              <w:pStyle w:val="TableTextCentered"/>
            </w:pPr>
            <w:r w:rsidRPr="0018475F">
              <w:rPr>
                <w:lang w:val="sk"/>
              </w:rPr>
              <w:t>0/5</w:t>
            </w:r>
          </w:p>
        </w:tc>
      </w:tr>
      <w:tr w:rsidR="00BE6ABF" w:rsidRPr="0018475F" w14:paraId="5F437F0A" w14:textId="77777777" w:rsidTr="0018475F">
        <w:tc>
          <w:tcPr>
            <w:tcW w:w="1124" w:type="dxa"/>
          </w:tcPr>
          <w:p w14:paraId="2CB4C67F" w14:textId="77777777" w:rsidR="00BE6ABF" w:rsidRPr="0018475F" w:rsidRDefault="00BE6ABF" w:rsidP="00BE6ABF">
            <w:pPr>
              <w:pStyle w:val="TableTextLeft"/>
            </w:pPr>
            <w:r w:rsidRPr="0018475F">
              <w:rPr>
                <w:lang w:val="sk"/>
              </w:rPr>
              <w:t>Podmozgová žľaza</w:t>
            </w:r>
            <w:r w:rsidRPr="0018475F">
              <w:rPr>
                <w:rStyle w:val="Reference"/>
                <w:lang w:val="sk"/>
              </w:rPr>
              <w:t>f</w:t>
            </w:r>
          </w:p>
        </w:tc>
        <w:tc>
          <w:tcPr>
            <w:tcW w:w="1276" w:type="dxa"/>
            <w:tcBorders>
              <w:right w:val="single" w:sz="12" w:space="0" w:color="auto"/>
            </w:tcBorders>
          </w:tcPr>
          <w:p w14:paraId="2E2FB3BB" w14:textId="77777777" w:rsidR="00BE6ABF" w:rsidRPr="0018475F" w:rsidRDefault="00BE6ABF" w:rsidP="00BE6ABF">
            <w:pPr>
              <w:pStyle w:val="TableTextCentered"/>
            </w:pPr>
            <w:r w:rsidRPr="0018475F">
              <w:rPr>
                <w:lang w:val="sk"/>
              </w:rPr>
              <w:t>3/3</w:t>
            </w:r>
          </w:p>
        </w:tc>
        <w:tc>
          <w:tcPr>
            <w:tcW w:w="1134" w:type="dxa"/>
            <w:tcBorders>
              <w:left w:val="single" w:sz="12" w:space="0" w:color="auto"/>
            </w:tcBorders>
          </w:tcPr>
          <w:p w14:paraId="770ECC3F" w14:textId="77777777" w:rsidR="00BE6ABF" w:rsidRPr="0018475F" w:rsidRDefault="00BE6ABF" w:rsidP="00BE6ABF">
            <w:pPr>
              <w:pStyle w:val="TableTextLeft"/>
            </w:pPr>
            <w:r w:rsidRPr="0018475F">
              <w:rPr>
                <w:lang w:val="sk"/>
              </w:rPr>
              <w:t>Močovod</w:t>
            </w:r>
          </w:p>
        </w:tc>
        <w:tc>
          <w:tcPr>
            <w:tcW w:w="1676" w:type="dxa"/>
            <w:vAlign w:val="center"/>
          </w:tcPr>
          <w:p w14:paraId="0DBE7963" w14:textId="77777777" w:rsidR="00BE6ABF" w:rsidRPr="0018475F" w:rsidRDefault="00BE6ABF" w:rsidP="00BE6ABF">
            <w:pPr>
              <w:pStyle w:val="TableTextCentered"/>
            </w:pPr>
            <w:r w:rsidRPr="0018475F">
              <w:rPr>
                <w:lang w:val="sk"/>
              </w:rPr>
              <w:t>0/2</w:t>
            </w:r>
          </w:p>
        </w:tc>
      </w:tr>
      <w:tr w:rsidR="00BE6ABF" w:rsidRPr="0018475F" w14:paraId="04B316E0" w14:textId="77777777" w:rsidTr="0018475F">
        <w:tc>
          <w:tcPr>
            <w:tcW w:w="1124" w:type="dxa"/>
          </w:tcPr>
          <w:p w14:paraId="3B6D85B0" w14:textId="77777777" w:rsidR="00BE6ABF" w:rsidRPr="0018475F" w:rsidRDefault="00BE6ABF" w:rsidP="00BE6ABF">
            <w:pPr>
              <w:pStyle w:val="TableTextLeft"/>
            </w:pPr>
            <w:r w:rsidRPr="0018475F">
              <w:rPr>
                <w:lang w:val="sk"/>
              </w:rPr>
              <w:t>Semenník</w:t>
            </w:r>
            <w:r w:rsidRPr="0018475F">
              <w:rPr>
                <w:rStyle w:val="Reference"/>
                <w:lang w:val="sk"/>
              </w:rPr>
              <w:t>g</w:t>
            </w:r>
          </w:p>
        </w:tc>
        <w:tc>
          <w:tcPr>
            <w:tcW w:w="1276" w:type="dxa"/>
            <w:tcBorders>
              <w:right w:val="single" w:sz="12" w:space="0" w:color="auto"/>
            </w:tcBorders>
          </w:tcPr>
          <w:p w14:paraId="73AE8FB8" w14:textId="77777777" w:rsidR="00BE6ABF" w:rsidRPr="0018475F" w:rsidRDefault="00BE6ABF" w:rsidP="00BE6ABF">
            <w:pPr>
              <w:pStyle w:val="TableTextCentered"/>
            </w:pPr>
            <w:r w:rsidRPr="0018475F">
              <w:rPr>
                <w:lang w:val="sk"/>
              </w:rPr>
              <w:t>3/4</w:t>
            </w:r>
          </w:p>
        </w:tc>
        <w:tc>
          <w:tcPr>
            <w:tcW w:w="1134" w:type="dxa"/>
            <w:tcBorders>
              <w:left w:val="single" w:sz="12" w:space="0" w:color="auto"/>
            </w:tcBorders>
          </w:tcPr>
          <w:p w14:paraId="0ACC7D6F" w14:textId="77777777" w:rsidR="00BE6ABF" w:rsidRPr="0018475F" w:rsidRDefault="00BE6ABF" w:rsidP="00BE6ABF">
            <w:pPr>
              <w:pStyle w:val="TableTextLeft"/>
            </w:pPr>
            <w:r w:rsidRPr="0018475F">
              <w:rPr>
                <w:lang w:val="sk"/>
              </w:rPr>
              <w:t>Endometrium</w:t>
            </w:r>
          </w:p>
        </w:tc>
        <w:tc>
          <w:tcPr>
            <w:tcW w:w="1676" w:type="dxa"/>
            <w:vAlign w:val="center"/>
          </w:tcPr>
          <w:p w14:paraId="61F4BAE7" w14:textId="77777777" w:rsidR="00BE6ABF" w:rsidRPr="0018475F" w:rsidRDefault="00BE6ABF" w:rsidP="00BE6ABF">
            <w:pPr>
              <w:pStyle w:val="TableTextCentered"/>
            </w:pPr>
            <w:r w:rsidRPr="0018475F">
              <w:rPr>
                <w:lang w:val="sk"/>
              </w:rPr>
              <w:t>0/5</w:t>
            </w:r>
          </w:p>
        </w:tc>
      </w:tr>
      <w:tr w:rsidR="00BE6ABF" w:rsidRPr="0018475F" w14:paraId="140A323D" w14:textId="77777777" w:rsidTr="0018475F">
        <w:tc>
          <w:tcPr>
            <w:tcW w:w="1124" w:type="dxa"/>
          </w:tcPr>
          <w:p w14:paraId="65813284" w14:textId="77777777" w:rsidR="00BE6ABF" w:rsidRPr="0018475F" w:rsidRDefault="00BE6ABF" w:rsidP="00BE6ABF">
            <w:pPr>
              <w:pStyle w:val="TableTextLeft"/>
            </w:pPr>
            <w:r w:rsidRPr="0018475F">
              <w:rPr>
                <w:lang w:val="sk"/>
              </w:rPr>
              <w:t>Štítna žľaza</w:t>
            </w:r>
          </w:p>
        </w:tc>
        <w:tc>
          <w:tcPr>
            <w:tcW w:w="1276" w:type="dxa"/>
            <w:tcBorders>
              <w:right w:val="single" w:sz="12" w:space="0" w:color="auto"/>
            </w:tcBorders>
          </w:tcPr>
          <w:p w14:paraId="287BD310" w14:textId="77777777" w:rsidR="00BE6ABF" w:rsidRPr="0018475F" w:rsidRDefault="00BE6ABF" w:rsidP="00BE6ABF">
            <w:pPr>
              <w:pStyle w:val="TableTextCentered"/>
            </w:pPr>
            <w:r w:rsidRPr="0018475F">
              <w:rPr>
                <w:lang w:val="sk"/>
              </w:rPr>
              <w:t>0/4</w:t>
            </w:r>
          </w:p>
        </w:tc>
        <w:tc>
          <w:tcPr>
            <w:tcW w:w="1134" w:type="dxa"/>
            <w:tcBorders>
              <w:left w:val="single" w:sz="12" w:space="0" w:color="auto"/>
            </w:tcBorders>
          </w:tcPr>
          <w:p w14:paraId="315CCFE0" w14:textId="77777777" w:rsidR="00BE6ABF" w:rsidRPr="0018475F" w:rsidRDefault="00BE6ABF" w:rsidP="00BE6ABF">
            <w:pPr>
              <w:pStyle w:val="TableTextLeft"/>
            </w:pPr>
            <w:r w:rsidRPr="0018475F">
              <w:rPr>
                <w:lang w:val="sk"/>
              </w:rPr>
              <w:t>Vajíčkovod</w:t>
            </w:r>
          </w:p>
        </w:tc>
        <w:tc>
          <w:tcPr>
            <w:tcW w:w="1676" w:type="dxa"/>
            <w:vAlign w:val="center"/>
          </w:tcPr>
          <w:p w14:paraId="509F8DA7" w14:textId="77777777" w:rsidR="00BE6ABF" w:rsidRPr="0018475F" w:rsidRDefault="00BE6ABF" w:rsidP="00BE6ABF">
            <w:pPr>
              <w:pStyle w:val="TableTextCentered"/>
            </w:pPr>
            <w:r w:rsidRPr="0018475F">
              <w:rPr>
                <w:lang w:val="sk"/>
              </w:rPr>
              <w:t>0/3</w:t>
            </w:r>
          </w:p>
        </w:tc>
      </w:tr>
      <w:tr w:rsidR="00BE6ABF" w:rsidRPr="0018475F" w14:paraId="019F4990" w14:textId="77777777" w:rsidTr="0018475F">
        <w:tc>
          <w:tcPr>
            <w:tcW w:w="1124" w:type="dxa"/>
          </w:tcPr>
          <w:p w14:paraId="6635F738" w14:textId="77777777" w:rsidR="00BE6ABF" w:rsidRPr="0018475F" w:rsidRDefault="00BE6ABF" w:rsidP="00BE6ABF">
            <w:pPr>
              <w:pStyle w:val="TableTextLeft"/>
            </w:pPr>
            <w:r w:rsidRPr="0018475F">
              <w:rPr>
                <w:lang w:val="sk"/>
              </w:rPr>
              <w:t>Prsník</w:t>
            </w:r>
            <w:r w:rsidRPr="0018475F">
              <w:rPr>
                <w:rStyle w:val="Reference"/>
                <w:lang w:val="sk"/>
              </w:rPr>
              <w:t>h</w:t>
            </w:r>
          </w:p>
        </w:tc>
        <w:tc>
          <w:tcPr>
            <w:tcW w:w="1276" w:type="dxa"/>
            <w:tcBorders>
              <w:right w:val="single" w:sz="12" w:space="0" w:color="auto"/>
            </w:tcBorders>
          </w:tcPr>
          <w:p w14:paraId="3F5A0DDD" w14:textId="77777777" w:rsidR="00BE6ABF" w:rsidRPr="0018475F" w:rsidRDefault="00BE6ABF" w:rsidP="00BE6ABF">
            <w:pPr>
              <w:pStyle w:val="TableTextCentered"/>
            </w:pPr>
            <w:r w:rsidRPr="0018475F">
              <w:rPr>
                <w:lang w:val="sk"/>
              </w:rPr>
              <w:t>3/4</w:t>
            </w:r>
          </w:p>
        </w:tc>
        <w:tc>
          <w:tcPr>
            <w:tcW w:w="1134" w:type="dxa"/>
            <w:tcBorders>
              <w:left w:val="single" w:sz="12" w:space="0" w:color="auto"/>
            </w:tcBorders>
          </w:tcPr>
          <w:p w14:paraId="7CD2AE0C" w14:textId="77777777" w:rsidR="00BE6ABF" w:rsidRPr="0018475F" w:rsidRDefault="00BE6ABF" w:rsidP="00BE6ABF">
            <w:pPr>
              <w:pStyle w:val="TableTextLeft"/>
            </w:pPr>
            <w:r w:rsidRPr="0018475F">
              <w:rPr>
                <w:lang w:val="sk"/>
              </w:rPr>
              <w:t>Placenta</w:t>
            </w:r>
          </w:p>
        </w:tc>
        <w:tc>
          <w:tcPr>
            <w:tcW w:w="1676" w:type="dxa"/>
            <w:vAlign w:val="center"/>
          </w:tcPr>
          <w:p w14:paraId="396C0F9A" w14:textId="77777777" w:rsidR="00BE6ABF" w:rsidRPr="0018475F" w:rsidRDefault="00BE6ABF" w:rsidP="00BE6ABF">
            <w:pPr>
              <w:pStyle w:val="TableTextCentered"/>
            </w:pPr>
            <w:r w:rsidRPr="0018475F">
              <w:rPr>
                <w:lang w:val="sk"/>
              </w:rPr>
              <w:t>0/3</w:t>
            </w:r>
          </w:p>
        </w:tc>
      </w:tr>
      <w:tr w:rsidR="00BE6ABF" w:rsidRPr="0018475F" w14:paraId="76DA6F5C" w14:textId="77777777" w:rsidTr="0018475F">
        <w:tc>
          <w:tcPr>
            <w:tcW w:w="1124" w:type="dxa"/>
          </w:tcPr>
          <w:p w14:paraId="56D5B8C8" w14:textId="77777777" w:rsidR="00BE6ABF" w:rsidRPr="0018475F" w:rsidRDefault="00BE6ABF" w:rsidP="00BE6ABF">
            <w:pPr>
              <w:pStyle w:val="TableTextLeft"/>
            </w:pPr>
            <w:r w:rsidRPr="0018475F">
              <w:rPr>
                <w:lang w:val="sk"/>
              </w:rPr>
              <w:t>Slezina</w:t>
            </w:r>
            <w:r w:rsidRPr="0018475F">
              <w:rPr>
                <w:rStyle w:val="Reference"/>
                <w:lang w:val="sk"/>
              </w:rPr>
              <w:t>i</w:t>
            </w:r>
          </w:p>
        </w:tc>
        <w:tc>
          <w:tcPr>
            <w:tcW w:w="1276" w:type="dxa"/>
            <w:tcBorders>
              <w:right w:val="single" w:sz="12" w:space="0" w:color="auto"/>
            </w:tcBorders>
          </w:tcPr>
          <w:p w14:paraId="601EB596" w14:textId="77777777" w:rsidR="00BE6ABF" w:rsidRPr="0018475F" w:rsidRDefault="00BE6ABF" w:rsidP="00BE6ABF">
            <w:pPr>
              <w:pStyle w:val="TableTextCentered"/>
            </w:pPr>
            <w:r w:rsidRPr="0018475F">
              <w:rPr>
                <w:lang w:val="sk"/>
              </w:rPr>
              <w:t>4/4</w:t>
            </w:r>
          </w:p>
        </w:tc>
        <w:tc>
          <w:tcPr>
            <w:tcW w:w="1134" w:type="dxa"/>
            <w:tcBorders>
              <w:left w:val="single" w:sz="12" w:space="0" w:color="auto"/>
            </w:tcBorders>
          </w:tcPr>
          <w:p w14:paraId="15291423" w14:textId="77777777" w:rsidR="00BE6ABF" w:rsidRPr="0018475F" w:rsidRDefault="00BE6ABF" w:rsidP="00BE6ABF">
            <w:pPr>
              <w:pStyle w:val="TableTextLeft"/>
            </w:pPr>
            <w:r w:rsidRPr="0018475F">
              <w:rPr>
                <w:lang w:val="sk"/>
              </w:rPr>
              <w:t>Krčok maternice</w:t>
            </w:r>
          </w:p>
        </w:tc>
        <w:tc>
          <w:tcPr>
            <w:tcW w:w="1676" w:type="dxa"/>
            <w:vAlign w:val="center"/>
          </w:tcPr>
          <w:p w14:paraId="63F6319E" w14:textId="77777777" w:rsidR="00BE6ABF" w:rsidRPr="0018475F" w:rsidRDefault="00BE6ABF" w:rsidP="00BE6ABF">
            <w:pPr>
              <w:pStyle w:val="TableTextCentered"/>
            </w:pPr>
            <w:r w:rsidRPr="0018475F">
              <w:rPr>
                <w:lang w:val="sk"/>
              </w:rPr>
              <w:t>0/4</w:t>
            </w:r>
          </w:p>
        </w:tc>
      </w:tr>
      <w:tr w:rsidR="00BE6ABF" w:rsidRPr="0018475F" w14:paraId="5A69599C" w14:textId="77777777" w:rsidTr="0018475F">
        <w:tc>
          <w:tcPr>
            <w:tcW w:w="1124" w:type="dxa"/>
          </w:tcPr>
          <w:p w14:paraId="34EF0B04" w14:textId="77777777" w:rsidR="00BE6ABF" w:rsidRPr="0018475F" w:rsidRDefault="00BE6ABF" w:rsidP="00BE6ABF">
            <w:pPr>
              <w:pStyle w:val="TableTextLeft"/>
            </w:pPr>
            <w:r w:rsidRPr="0018475F">
              <w:rPr>
                <w:lang w:val="sk"/>
              </w:rPr>
              <w:t>Mandľa</w:t>
            </w:r>
            <w:r w:rsidRPr="0018475F">
              <w:rPr>
                <w:rStyle w:val="Reference"/>
                <w:lang w:val="sk"/>
              </w:rPr>
              <w:t>j</w:t>
            </w:r>
          </w:p>
        </w:tc>
        <w:tc>
          <w:tcPr>
            <w:tcW w:w="1276" w:type="dxa"/>
            <w:tcBorders>
              <w:right w:val="single" w:sz="12" w:space="0" w:color="auto"/>
            </w:tcBorders>
          </w:tcPr>
          <w:p w14:paraId="51867630" w14:textId="77777777" w:rsidR="00BE6ABF" w:rsidRPr="0018475F" w:rsidRDefault="00BE6ABF" w:rsidP="00BE6ABF">
            <w:pPr>
              <w:pStyle w:val="TableTextCentered"/>
            </w:pPr>
            <w:r w:rsidRPr="0018475F">
              <w:rPr>
                <w:lang w:val="sk"/>
              </w:rPr>
              <w:t>4/4</w:t>
            </w:r>
          </w:p>
        </w:tc>
        <w:tc>
          <w:tcPr>
            <w:tcW w:w="1134" w:type="dxa"/>
            <w:tcBorders>
              <w:left w:val="single" w:sz="12" w:space="0" w:color="auto"/>
            </w:tcBorders>
          </w:tcPr>
          <w:p w14:paraId="2E70F232" w14:textId="77777777" w:rsidR="00BE6ABF" w:rsidRPr="0018475F" w:rsidRDefault="00BE6ABF" w:rsidP="00BE6ABF">
            <w:pPr>
              <w:pStyle w:val="TableTextLeft"/>
            </w:pPr>
            <w:r w:rsidRPr="0018475F">
              <w:rPr>
                <w:lang w:val="sk"/>
              </w:rPr>
              <w:t>Kostrový sval</w:t>
            </w:r>
          </w:p>
        </w:tc>
        <w:tc>
          <w:tcPr>
            <w:tcW w:w="1676" w:type="dxa"/>
            <w:vAlign w:val="center"/>
          </w:tcPr>
          <w:p w14:paraId="3E082B13" w14:textId="77777777" w:rsidR="00BE6ABF" w:rsidRPr="0018475F" w:rsidRDefault="00BE6ABF" w:rsidP="00BE6ABF">
            <w:pPr>
              <w:pStyle w:val="TableTextCentered"/>
            </w:pPr>
            <w:r w:rsidRPr="0018475F">
              <w:rPr>
                <w:lang w:val="sk"/>
              </w:rPr>
              <w:t>0/3</w:t>
            </w:r>
          </w:p>
        </w:tc>
      </w:tr>
      <w:tr w:rsidR="00BE6ABF" w:rsidRPr="0018475F" w14:paraId="67F9A693" w14:textId="77777777" w:rsidTr="0018475F">
        <w:tc>
          <w:tcPr>
            <w:tcW w:w="1124" w:type="dxa"/>
          </w:tcPr>
          <w:p w14:paraId="169F8A1E" w14:textId="77777777" w:rsidR="00BE6ABF" w:rsidRPr="0018475F" w:rsidRDefault="00BE6ABF" w:rsidP="00BE6ABF">
            <w:pPr>
              <w:pStyle w:val="TableTextLeft"/>
            </w:pPr>
            <w:r w:rsidRPr="0018475F">
              <w:rPr>
                <w:lang w:val="sk"/>
              </w:rPr>
              <w:t>Týmus</w:t>
            </w:r>
            <w:r w:rsidRPr="0018475F">
              <w:rPr>
                <w:rStyle w:val="Reference"/>
                <w:lang w:val="sk"/>
              </w:rPr>
              <w:t>j</w:t>
            </w:r>
          </w:p>
        </w:tc>
        <w:tc>
          <w:tcPr>
            <w:tcW w:w="1276" w:type="dxa"/>
            <w:tcBorders>
              <w:right w:val="single" w:sz="12" w:space="0" w:color="auto"/>
            </w:tcBorders>
          </w:tcPr>
          <w:p w14:paraId="01826F94" w14:textId="77777777" w:rsidR="00BE6ABF" w:rsidRPr="0018475F" w:rsidRDefault="00BE6ABF" w:rsidP="00BE6ABF">
            <w:pPr>
              <w:pStyle w:val="TableTextCentered"/>
            </w:pPr>
            <w:r w:rsidRPr="0018475F">
              <w:rPr>
                <w:lang w:val="sk"/>
              </w:rPr>
              <w:t>3/3</w:t>
            </w:r>
          </w:p>
        </w:tc>
        <w:tc>
          <w:tcPr>
            <w:tcW w:w="1134" w:type="dxa"/>
            <w:tcBorders>
              <w:left w:val="single" w:sz="12" w:space="0" w:color="auto"/>
            </w:tcBorders>
          </w:tcPr>
          <w:p w14:paraId="03FF299B" w14:textId="77777777" w:rsidR="00BE6ABF" w:rsidRPr="0018475F" w:rsidRDefault="00BE6ABF" w:rsidP="00BE6ABF">
            <w:pPr>
              <w:pStyle w:val="TableTextLeft"/>
            </w:pPr>
            <w:r w:rsidRPr="0018475F">
              <w:rPr>
                <w:lang w:val="sk"/>
              </w:rPr>
              <w:t>Koža</w:t>
            </w:r>
            <w:r w:rsidRPr="0018475F">
              <w:rPr>
                <w:rStyle w:val="Reference"/>
                <w:lang w:val="sk"/>
              </w:rPr>
              <w:t>k</w:t>
            </w:r>
          </w:p>
        </w:tc>
        <w:tc>
          <w:tcPr>
            <w:tcW w:w="1676" w:type="dxa"/>
            <w:vAlign w:val="center"/>
          </w:tcPr>
          <w:p w14:paraId="6EEBD28F" w14:textId="77777777" w:rsidR="00BE6ABF" w:rsidRPr="0018475F" w:rsidRDefault="00BE6ABF" w:rsidP="00BE6ABF">
            <w:pPr>
              <w:pStyle w:val="TableTextCentered"/>
            </w:pPr>
            <w:r w:rsidRPr="0018475F">
              <w:rPr>
                <w:lang w:val="sk"/>
              </w:rPr>
              <w:t>10/10</w:t>
            </w:r>
          </w:p>
        </w:tc>
      </w:tr>
      <w:tr w:rsidR="00BE6ABF" w:rsidRPr="0018475F" w14:paraId="66CD61FC" w14:textId="77777777" w:rsidTr="0018475F">
        <w:tc>
          <w:tcPr>
            <w:tcW w:w="1124" w:type="dxa"/>
          </w:tcPr>
          <w:p w14:paraId="6F784245" w14:textId="77777777" w:rsidR="00BE6ABF" w:rsidRPr="0018475F" w:rsidRDefault="00BE6ABF" w:rsidP="00BE6ABF">
            <w:pPr>
              <w:pStyle w:val="TableTextLeft"/>
            </w:pPr>
            <w:r w:rsidRPr="0018475F">
              <w:rPr>
                <w:lang w:val="sk"/>
              </w:rPr>
              <w:t>Kostná dreň</w:t>
            </w:r>
            <w:r w:rsidRPr="0018475F">
              <w:rPr>
                <w:rStyle w:val="Reference"/>
                <w:lang w:val="sk"/>
              </w:rPr>
              <w:t>i</w:t>
            </w:r>
          </w:p>
        </w:tc>
        <w:tc>
          <w:tcPr>
            <w:tcW w:w="1276" w:type="dxa"/>
            <w:tcBorders>
              <w:right w:val="single" w:sz="12" w:space="0" w:color="auto"/>
            </w:tcBorders>
          </w:tcPr>
          <w:p w14:paraId="73934E58" w14:textId="77777777" w:rsidR="00BE6ABF" w:rsidRPr="0018475F" w:rsidRDefault="00BE6ABF" w:rsidP="00BE6ABF">
            <w:pPr>
              <w:pStyle w:val="TableTextCentered"/>
            </w:pPr>
            <w:r w:rsidRPr="0018475F">
              <w:rPr>
                <w:lang w:val="sk"/>
              </w:rPr>
              <w:t>1/3</w:t>
            </w:r>
          </w:p>
        </w:tc>
        <w:tc>
          <w:tcPr>
            <w:tcW w:w="1134" w:type="dxa"/>
            <w:tcBorders>
              <w:left w:val="single" w:sz="12" w:space="0" w:color="auto"/>
            </w:tcBorders>
          </w:tcPr>
          <w:p w14:paraId="75317AC7" w14:textId="77777777" w:rsidR="00BE6ABF" w:rsidRPr="0018475F" w:rsidRDefault="00BE6ABF" w:rsidP="00BE6ABF">
            <w:pPr>
              <w:pStyle w:val="TableTextLeft"/>
            </w:pPr>
            <w:r w:rsidRPr="0018475F">
              <w:rPr>
                <w:lang w:val="sk"/>
              </w:rPr>
              <w:t>Nerv</w:t>
            </w:r>
            <w:r w:rsidRPr="0018475F">
              <w:rPr>
                <w:rStyle w:val="Reference"/>
                <w:lang w:val="sk"/>
              </w:rPr>
              <w:t>l</w:t>
            </w:r>
          </w:p>
        </w:tc>
        <w:tc>
          <w:tcPr>
            <w:tcW w:w="1676" w:type="dxa"/>
            <w:vAlign w:val="center"/>
          </w:tcPr>
          <w:p w14:paraId="06402B64" w14:textId="77777777" w:rsidR="00BE6ABF" w:rsidRPr="0018475F" w:rsidRDefault="00BE6ABF" w:rsidP="00BE6ABF">
            <w:pPr>
              <w:pStyle w:val="TableTextCentered"/>
            </w:pPr>
            <w:r w:rsidRPr="0018475F">
              <w:rPr>
                <w:lang w:val="sk"/>
              </w:rPr>
              <w:t>5/5</w:t>
            </w:r>
          </w:p>
        </w:tc>
      </w:tr>
      <w:tr w:rsidR="00BE6ABF" w:rsidRPr="0018475F" w14:paraId="01DA83A9" w14:textId="77777777" w:rsidTr="0018475F">
        <w:tc>
          <w:tcPr>
            <w:tcW w:w="1124" w:type="dxa"/>
          </w:tcPr>
          <w:p w14:paraId="7034E566" w14:textId="77777777" w:rsidR="00BE6ABF" w:rsidRPr="0018475F" w:rsidRDefault="00BE6ABF" w:rsidP="00BE6ABF">
            <w:pPr>
              <w:pStyle w:val="TableTextLeft"/>
            </w:pPr>
            <w:r w:rsidRPr="0018475F">
              <w:rPr>
                <w:lang w:val="sk"/>
              </w:rPr>
              <w:t>Pľúca</w:t>
            </w:r>
          </w:p>
        </w:tc>
        <w:tc>
          <w:tcPr>
            <w:tcW w:w="1276" w:type="dxa"/>
            <w:tcBorders>
              <w:right w:val="single" w:sz="12" w:space="0" w:color="auto"/>
            </w:tcBorders>
          </w:tcPr>
          <w:p w14:paraId="385166A0" w14:textId="77777777" w:rsidR="00BE6ABF" w:rsidRPr="0018475F" w:rsidRDefault="00BE6ABF" w:rsidP="00BE6ABF">
            <w:pPr>
              <w:pStyle w:val="TableTextCentered"/>
            </w:pPr>
            <w:r w:rsidRPr="0018475F">
              <w:rPr>
                <w:lang w:val="sk"/>
              </w:rPr>
              <w:t>0/4</w:t>
            </w:r>
          </w:p>
        </w:tc>
        <w:tc>
          <w:tcPr>
            <w:tcW w:w="1134" w:type="dxa"/>
            <w:tcBorders>
              <w:left w:val="single" w:sz="12" w:space="0" w:color="auto"/>
            </w:tcBorders>
          </w:tcPr>
          <w:p w14:paraId="25DAE99C" w14:textId="77777777" w:rsidR="00BE6ABF" w:rsidRPr="0018475F" w:rsidRDefault="00BE6ABF" w:rsidP="00BE6ABF">
            <w:pPr>
              <w:pStyle w:val="TableTextLeft"/>
            </w:pPr>
            <w:r w:rsidRPr="0018475F">
              <w:rPr>
                <w:lang w:val="sk"/>
              </w:rPr>
              <w:t>Miecha</w:t>
            </w:r>
            <w:r w:rsidRPr="0018475F">
              <w:rPr>
                <w:rStyle w:val="Reference"/>
                <w:lang w:val="sk"/>
              </w:rPr>
              <w:t>b</w:t>
            </w:r>
          </w:p>
        </w:tc>
        <w:tc>
          <w:tcPr>
            <w:tcW w:w="1676" w:type="dxa"/>
            <w:vAlign w:val="center"/>
          </w:tcPr>
          <w:p w14:paraId="5A40C536" w14:textId="77777777" w:rsidR="00BE6ABF" w:rsidRPr="0018475F" w:rsidRDefault="00BE6ABF" w:rsidP="00BE6ABF">
            <w:pPr>
              <w:pStyle w:val="TableTextCentered"/>
            </w:pPr>
            <w:r w:rsidRPr="0018475F">
              <w:rPr>
                <w:lang w:val="sk"/>
              </w:rPr>
              <w:t>2/2</w:t>
            </w:r>
          </w:p>
        </w:tc>
      </w:tr>
      <w:tr w:rsidR="00BE6ABF" w:rsidRPr="0018475F" w14:paraId="31CFD242" w14:textId="77777777" w:rsidTr="0018475F">
        <w:tc>
          <w:tcPr>
            <w:tcW w:w="1124" w:type="dxa"/>
          </w:tcPr>
          <w:p w14:paraId="36F9921B" w14:textId="77777777" w:rsidR="00BE6ABF" w:rsidRPr="0018475F" w:rsidRDefault="00BE6ABF" w:rsidP="00BE6ABF">
            <w:pPr>
              <w:pStyle w:val="TableTextLeft"/>
            </w:pPr>
            <w:r w:rsidRPr="0018475F">
              <w:rPr>
                <w:lang w:val="sk"/>
              </w:rPr>
              <w:t>Srdce</w:t>
            </w:r>
          </w:p>
        </w:tc>
        <w:tc>
          <w:tcPr>
            <w:tcW w:w="1276" w:type="dxa"/>
            <w:tcBorders>
              <w:right w:val="single" w:sz="12" w:space="0" w:color="auto"/>
            </w:tcBorders>
          </w:tcPr>
          <w:p w14:paraId="1F66F9FE" w14:textId="77777777" w:rsidR="00BE6ABF" w:rsidRPr="0018475F" w:rsidRDefault="00BE6ABF" w:rsidP="00BE6ABF">
            <w:pPr>
              <w:pStyle w:val="TableTextCentered"/>
            </w:pPr>
            <w:r w:rsidRPr="0018475F">
              <w:rPr>
                <w:lang w:val="sk"/>
              </w:rPr>
              <w:t>0/4</w:t>
            </w:r>
          </w:p>
        </w:tc>
        <w:tc>
          <w:tcPr>
            <w:tcW w:w="1134" w:type="dxa"/>
            <w:tcBorders>
              <w:left w:val="single" w:sz="12" w:space="0" w:color="auto"/>
            </w:tcBorders>
          </w:tcPr>
          <w:p w14:paraId="4C914A22" w14:textId="77777777" w:rsidR="00BE6ABF" w:rsidRPr="0018475F" w:rsidRDefault="00BE6ABF" w:rsidP="00BE6ABF">
            <w:pPr>
              <w:pStyle w:val="TableTextLeft"/>
            </w:pPr>
            <w:r w:rsidRPr="0018475F">
              <w:rPr>
                <w:lang w:val="sk"/>
              </w:rPr>
              <w:t>Mezotel</w:t>
            </w:r>
          </w:p>
        </w:tc>
        <w:tc>
          <w:tcPr>
            <w:tcW w:w="1676" w:type="dxa"/>
            <w:vAlign w:val="center"/>
          </w:tcPr>
          <w:p w14:paraId="7CD5D16A" w14:textId="77777777" w:rsidR="00BE6ABF" w:rsidRPr="0018475F" w:rsidRDefault="00BE6ABF" w:rsidP="00BE6ABF">
            <w:pPr>
              <w:pStyle w:val="TableTextCentered"/>
            </w:pPr>
            <w:r w:rsidRPr="0018475F">
              <w:rPr>
                <w:lang w:val="sk"/>
              </w:rPr>
              <w:t>0/3</w:t>
            </w:r>
          </w:p>
        </w:tc>
      </w:tr>
      <w:tr w:rsidR="00BE6ABF" w:rsidRPr="0018475F" w14:paraId="1F32A2B0" w14:textId="77777777" w:rsidTr="0018475F">
        <w:tc>
          <w:tcPr>
            <w:tcW w:w="1124" w:type="dxa"/>
          </w:tcPr>
          <w:p w14:paraId="0CC20678" w14:textId="77777777" w:rsidR="00BE6ABF" w:rsidRPr="0018475F" w:rsidRDefault="00BE6ABF" w:rsidP="00BE6ABF">
            <w:pPr>
              <w:pStyle w:val="TableTextLeft"/>
            </w:pPr>
            <w:r w:rsidRPr="0018475F">
              <w:rPr>
                <w:lang w:val="sk"/>
              </w:rPr>
              <w:t>Pažerák</w:t>
            </w:r>
          </w:p>
        </w:tc>
        <w:tc>
          <w:tcPr>
            <w:tcW w:w="1276" w:type="dxa"/>
            <w:tcBorders>
              <w:right w:val="single" w:sz="12" w:space="0" w:color="auto"/>
            </w:tcBorders>
          </w:tcPr>
          <w:p w14:paraId="0A7EF0EE" w14:textId="77777777" w:rsidR="00BE6ABF" w:rsidRPr="0018475F" w:rsidRDefault="00BE6ABF" w:rsidP="00BE6ABF">
            <w:pPr>
              <w:pStyle w:val="TableTextCentered"/>
            </w:pPr>
            <w:r w:rsidRPr="0018475F">
              <w:rPr>
                <w:lang w:val="sk"/>
              </w:rPr>
              <w:t>0/4</w:t>
            </w:r>
          </w:p>
        </w:tc>
        <w:tc>
          <w:tcPr>
            <w:tcW w:w="1134" w:type="dxa"/>
            <w:tcBorders>
              <w:left w:val="single" w:sz="12" w:space="0" w:color="auto"/>
            </w:tcBorders>
          </w:tcPr>
          <w:p w14:paraId="42ED8AF1" w14:textId="77777777" w:rsidR="00BE6ABF" w:rsidRPr="0018475F" w:rsidRDefault="00BE6ABF" w:rsidP="00BE6ABF">
            <w:pPr>
              <w:pStyle w:val="TableTextLeft"/>
            </w:pPr>
            <w:r w:rsidRPr="0018475F">
              <w:rPr>
                <w:lang w:val="sk"/>
              </w:rPr>
              <w:t>Mäkké tkanivo</w:t>
            </w:r>
            <w:r w:rsidRPr="0018475F">
              <w:rPr>
                <w:rStyle w:val="Reference"/>
                <w:lang w:val="sk"/>
              </w:rPr>
              <w:t>l,m</w:t>
            </w:r>
          </w:p>
        </w:tc>
        <w:tc>
          <w:tcPr>
            <w:tcW w:w="1676" w:type="dxa"/>
            <w:vAlign w:val="center"/>
          </w:tcPr>
          <w:p w14:paraId="2DF80709" w14:textId="77777777" w:rsidR="00BE6ABF" w:rsidRPr="0018475F" w:rsidRDefault="00BE6ABF" w:rsidP="00BE6ABF">
            <w:pPr>
              <w:pStyle w:val="TableTextCentered"/>
            </w:pPr>
            <w:r w:rsidRPr="0018475F">
              <w:rPr>
                <w:lang w:val="sk"/>
              </w:rPr>
              <w:t>1/1</w:t>
            </w:r>
          </w:p>
        </w:tc>
      </w:tr>
      <w:tr w:rsidR="00BE6ABF" w:rsidRPr="0018475F" w14:paraId="420D470F" w14:textId="77777777" w:rsidTr="0018475F">
        <w:tc>
          <w:tcPr>
            <w:tcW w:w="1124" w:type="dxa"/>
          </w:tcPr>
          <w:p w14:paraId="7497F92D" w14:textId="77777777" w:rsidR="00BE6ABF" w:rsidRPr="0018475F" w:rsidRDefault="00BE6ABF" w:rsidP="00BE6ABF">
            <w:pPr>
              <w:pStyle w:val="TableTextLeft"/>
            </w:pPr>
            <w:r w:rsidRPr="0018475F">
              <w:rPr>
                <w:lang w:val="sk"/>
              </w:rPr>
              <w:t>Žalúdok</w:t>
            </w:r>
          </w:p>
        </w:tc>
        <w:tc>
          <w:tcPr>
            <w:tcW w:w="1276" w:type="dxa"/>
            <w:tcBorders>
              <w:right w:val="single" w:sz="12" w:space="0" w:color="auto"/>
            </w:tcBorders>
          </w:tcPr>
          <w:p w14:paraId="053F18E1" w14:textId="77777777" w:rsidR="00BE6ABF" w:rsidRPr="0018475F" w:rsidRDefault="00BE6ABF" w:rsidP="00BE6ABF">
            <w:pPr>
              <w:pStyle w:val="TableTextCentered"/>
            </w:pPr>
            <w:r w:rsidRPr="0018475F">
              <w:rPr>
                <w:lang w:val="sk"/>
              </w:rPr>
              <w:t>0/4</w:t>
            </w:r>
          </w:p>
        </w:tc>
        <w:tc>
          <w:tcPr>
            <w:tcW w:w="1134" w:type="dxa"/>
            <w:tcBorders>
              <w:left w:val="single" w:sz="12" w:space="0" w:color="auto"/>
            </w:tcBorders>
          </w:tcPr>
          <w:p w14:paraId="60AA2802" w14:textId="77777777" w:rsidR="00BE6ABF" w:rsidRPr="0018475F" w:rsidRDefault="00BE6ABF" w:rsidP="00BE6ABF">
            <w:pPr>
              <w:pStyle w:val="TableTextLeft"/>
            </w:pPr>
            <w:r w:rsidRPr="0018475F">
              <w:rPr>
                <w:lang w:val="sk"/>
              </w:rPr>
              <w:t>Lymfatická uzlina</w:t>
            </w:r>
            <w:r w:rsidRPr="0018475F">
              <w:rPr>
                <w:rStyle w:val="Reference"/>
                <w:lang w:val="sk"/>
              </w:rPr>
              <w:t>i,j</w:t>
            </w:r>
          </w:p>
        </w:tc>
        <w:tc>
          <w:tcPr>
            <w:tcW w:w="1676" w:type="dxa"/>
            <w:vAlign w:val="center"/>
          </w:tcPr>
          <w:p w14:paraId="7ACDBE5F" w14:textId="77777777" w:rsidR="00BE6ABF" w:rsidRPr="0018475F" w:rsidRDefault="00BE6ABF" w:rsidP="00BE6ABF">
            <w:pPr>
              <w:pStyle w:val="TableTextCentered"/>
            </w:pPr>
            <w:r w:rsidRPr="0018475F">
              <w:rPr>
                <w:lang w:val="sk"/>
              </w:rPr>
              <w:t>0/1</w:t>
            </w:r>
          </w:p>
        </w:tc>
      </w:tr>
      <w:tr w:rsidR="00BE6ABF" w:rsidRPr="0018475F" w14:paraId="3AF416D3" w14:textId="77777777" w:rsidTr="0018475F">
        <w:trPr>
          <w:gridAfter w:val="2"/>
          <w:wAfter w:w="2810" w:type="dxa"/>
        </w:trPr>
        <w:tc>
          <w:tcPr>
            <w:tcW w:w="1124" w:type="dxa"/>
          </w:tcPr>
          <w:p w14:paraId="126BF0BB" w14:textId="77777777" w:rsidR="00BE6ABF" w:rsidRPr="0018475F" w:rsidRDefault="00BE6ABF" w:rsidP="00BE6ABF">
            <w:pPr>
              <w:pStyle w:val="TableTextLeft"/>
            </w:pPr>
            <w:r w:rsidRPr="0018475F">
              <w:rPr>
                <w:lang w:val="sk"/>
              </w:rPr>
              <w:t>Tenké črevo</w:t>
            </w:r>
          </w:p>
        </w:tc>
        <w:tc>
          <w:tcPr>
            <w:tcW w:w="1276" w:type="dxa"/>
            <w:tcBorders>
              <w:right w:val="single" w:sz="12" w:space="0" w:color="auto"/>
            </w:tcBorders>
          </w:tcPr>
          <w:p w14:paraId="51FEE716" w14:textId="77777777" w:rsidR="00BE6ABF" w:rsidRPr="0018475F" w:rsidRDefault="00BE6ABF" w:rsidP="00BE6ABF">
            <w:pPr>
              <w:pStyle w:val="TableTextCentered"/>
            </w:pPr>
            <w:r w:rsidRPr="0018475F">
              <w:rPr>
                <w:lang w:val="sk"/>
              </w:rPr>
              <w:t>0/4</w:t>
            </w:r>
          </w:p>
        </w:tc>
      </w:tr>
    </w:tbl>
    <w:p w14:paraId="0D8007FC" w14:textId="53F57DDA" w:rsidR="00BE6ABF" w:rsidRPr="0018475F" w:rsidRDefault="00BE6ABF" w:rsidP="00BE6ABF">
      <w:r w:rsidRPr="0018475F">
        <w:rPr>
          <w:rStyle w:val="Reference"/>
          <w:lang w:val="sk"/>
        </w:rPr>
        <w:t>a</w:t>
      </w:r>
      <w:r w:rsidRPr="0018475F">
        <w:rPr>
          <w:lang w:val="sk"/>
        </w:rPr>
        <w:t xml:space="preserve"> S100 sa exprimuje v mnohých normálnych štruktúrach, ako sú histiocyty, dendritické bunky, adipocyty, nervové a myoepiteliálne bunky.  Pri hodnotení uvedených normálnych tkanív sa pozitívny alebo negatívny stav odvodil na základe hodnotenia normálnych buniek špecifických pre dané miesto, preto tkanivá považované za negatívne môžu mať farbenie v niektorých alebo vo všetkých uvedených štruktúrach., </w:t>
      </w:r>
      <w:r w:rsidRPr="0018475F">
        <w:rPr>
          <w:rStyle w:val="Reference"/>
          <w:lang w:val="sk"/>
        </w:rPr>
        <w:t>b</w:t>
      </w:r>
      <w:r w:rsidRPr="0018475F">
        <w:rPr>
          <w:lang w:val="sk"/>
        </w:rPr>
        <w:t xml:space="preserve"> Neuróny a gliové bunky, </w:t>
      </w:r>
      <w:r w:rsidRPr="0018475F">
        <w:rPr>
          <w:rStyle w:val="Reference"/>
          <w:lang w:val="sk"/>
        </w:rPr>
        <w:t>c</w:t>
      </w:r>
      <w:r w:rsidRPr="0018475F">
        <w:rPr>
          <w:lang w:val="sk"/>
        </w:rPr>
        <w:t xml:space="preserve"> Hodnotené tkanivo zahŕňa normálne tkanivo a hyperpláziu. </w:t>
      </w:r>
      <w:r w:rsidRPr="0018475F">
        <w:rPr>
          <w:rStyle w:val="Reference"/>
          <w:lang w:val="sk"/>
        </w:rPr>
        <w:t>d</w:t>
      </w:r>
      <w:r w:rsidRPr="0018475F">
        <w:rPr>
          <w:lang w:val="sk"/>
        </w:rPr>
        <w:t xml:space="preserve"> Medulárne bunky, </w:t>
      </w:r>
      <w:r w:rsidRPr="0018475F">
        <w:rPr>
          <w:rStyle w:val="Reference"/>
          <w:lang w:val="sk"/>
        </w:rPr>
        <w:t>e</w:t>
      </w:r>
      <w:r w:rsidRPr="0018475F">
        <w:rPr>
          <w:lang w:val="sk"/>
        </w:rPr>
        <w:t xml:space="preserve"> Ostrovčekové bunky, </w:t>
      </w:r>
      <w:r w:rsidRPr="0018475F">
        <w:rPr>
          <w:rStyle w:val="Reference"/>
          <w:lang w:val="sk"/>
        </w:rPr>
        <w:t>f</w:t>
      </w:r>
      <w:r w:rsidRPr="0018475F">
        <w:rPr>
          <w:lang w:val="sk"/>
        </w:rPr>
        <w:t xml:space="preserve"> Folikulo-hviezdicové bunky, </w:t>
      </w:r>
      <w:r w:rsidRPr="0018475F">
        <w:rPr>
          <w:rStyle w:val="Reference"/>
          <w:lang w:val="sk"/>
        </w:rPr>
        <w:t>g</w:t>
      </w:r>
      <w:r w:rsidRPr="0018475F">
        <w:rPr>
          <w:lang w:val="sk"/>
        </w:rPr>
        <w:t xml:space="preserve"> Leydigove bunky </w:t>
      </w:r>
      <w:r w:rsidRPr="0018475F">
        <w:rPr>
          <w:rStyle w:val="Reference"/>
          <w:lang w:val="sk"/>
        </w:rPr>
        <w:t>h</w:t>
      </w:r>
      <w:r w:rsidRPr="0018475F">
        <w:rPr>
          <w:lang w:val="sk"/>
        </w:rPr>
        <w:t xml:space="preserve"> Myoepitelové bunky, </w:t>
      </w:r>
      <w:r w:rsidRPr="0018475F">
        <w:rPr>
          <w:rStyle w:val="Reference"/>
          <w:lang w:val="sk"/>
        </w:rPr>
        <w:t>i</w:t>
      </w:r>
      <w:r w:rsidRPr="0018475F">
        <w:rPr>
          <w:lang w:val="sk"/>
        </w:rPr>
        <w:t xml:space="preserve"> Histiocyty, </w:t>
      </w:r>
      <w:r w:rsidRPr="0018475F">
        <w:rPr>
          <w:rStyle w:val="Reference"/>
          <w:lang w:val="sk"/>
        </w:rPr>
        <w:t>j</w:t>
      </w:r>
      <w:r w:rsidRPr="0018475F">
        <w:rPr>
          <w:lang w:val="sk"/>
        </w:rPr>
        <w:t xml:space="preserve"> Dendritické bunky, </w:t>
      </w:r>
      <w:r w:rsidRPr="0018475F">
        <w:rPr>
          <w:rStyle w:val="Reference"/>
          <w:lang w:val="sk"/>
        </w:rPr>
        <w:t>k</w:t>
      </w:r>
      <w:r w:rsidRPr="0018475F">
        <w:rPr>
          <w:lang w:val="sk"/>
        </w:rPr>
        <w:t xml:space="preserve"> Melanocyty, </w:t>
      </w:r>
      <w:r w:rsidRPr="0018475F">
        <w:rPr>
          <w:rStyle w:val="Reference"/>
          <w:lang w:val="sk"/>
        </w:rPr>
        <w:t>l</w:t>
      </w:r>
      <w:r w:rsidRPr="0018475F">
        <w:rPr>
          <w:lang w:val="sk"/>
        </w:rPr>
        <w:t xml:space="preserve"> Schwannove bunky </w:t>
      </w:r>
      <w:r w:rsidRPr="0018475F">
        <w:rPr>
          <w:rStyle w:val="Reference"/>
          <w:lang w:val="sk"/>
        </w:rPr>
        <w:t>m</w:t>
      </w:r>
      <w:r w:rsidRPr="0018475F">
        <w:rPr>
          <w:lang w:val="sk"/>
        </w:rPr>
        <w:t xml:space="preserve"> Adipocyty</w:t>
      </w:r>
    </w:p>
    <w:p w14:paraId="03BF0D1E" w14:textId="77777777" w:rsidR="00BE6ABF" w:rsidRPr="0018475F" w:rsidRDefault="00BE6ABF" w:rsidP="00BE6ABF"/>
    <w:p w14:paraId="5366DEB6" w14:textId="77777777" w:rsidR="00BE6ABF" w:rsidRPr="0018475F" w:rsidRDefault="00BE6ABF" w:rsidP="00BE6ABF">
      <w:pPr>
        <w:pStyle w:val="TableNumberAuto"/>
      </w:pPr>
      <w:bookmarkStart w:id="10" w:name="_Ref513455491"/>
      <w:bookmarkStart w:id="11" w:name="_Ref274811390"/>
      <w:r w:rsidRPr="0018475F">
        <w:rPr>
          <w:lang w:val="sk"/>
        </w:rPr>
        <w:t>Citlivosť/špecifickosť protilátky CONFIRM anti-S100 (Polyclonal) sa stanovila testovaním rôznych neoplastických FFPE tkanív.</w:t>
      </w:r>
      <w:bookmarkEnd w:id="10"/>
      <w:r w:rsidRPr="0018475F">
        <w:rPr>
          <w:lang w:val="sk"/>
        </w:rPr>
        <w:t xml:space="preserve"> </w:t>
      </w:r>
    </w:p>
    <w:tbl>
      <w:tblPr>
        <w:tblW w:w="5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42"/>
        <w:gridCol w:w="2671"/>
      </w:tblGrid>
      <w:tr w:rsidR="00BE6ABF" w:rsidRPr="0018475F" w14:paraId="31D1E235" w14:textId="77777777" w:rsidTr="0018475F">
        <w:trPr>
          <w:tblHeader/>
        </w:trPr>
        <w:tc>
          <w:tcPr>
            <w:tcW w:w="2542" w:type="dxa"/>
            <w:tcBorders>
              <w:top w:val="single" w:sz="8" w:space="0" w:color="auto"/>
              <w:left w:val="single" w:sz="8" w:space="0" w:color="auto"/>
              <w:bottom w:val="single" w:sz="8" w:space="0" w:color="auto"/>
              <w:right w:val="single" w:sz="8" w:space="0" w:color="auto"/>
            </w:tcBorders>
            <w:shd w:val="clear" w:color="auto" w:fill="C0C0C0"/>
            <w:vAlign w:val="bottom"/>
            <w:hideMark/>
          </w:tcPr>
          <w:p w14:paraId="2C7AC968" w14:textId="77777777" w:rsidR="00BE6ABF" w:rsidRPr="0018475F" w:rsidRDefault="00BE6ABF" w:rsidP="00BE6ABF">
            <w:pPr>
              <w:pStyle w:val="TableHeadLeft"/>
            </w:pPr>
            <w:r w:rsidRPr="0018475F">
              <w:rPr>
                <w:bCs/>
                <w:lang w:val="sk"/>
              </w:rPr>
              <w:t>Patológia</w:t>
            </w:r>
            <w:r w:rsidRPr="0018475F">
              <w:rPr>
                <w:rStyle w:val="Reference"/>
                <w:bCs/>
                <w:lang w:val="sk"/>
              </w:rPr>
              <w:t>a</w:t>
            </w:r>
          </w:p>
        </w:tc>
        <w:tc>
          <w:tcPr>
            <w:tcW w:w="2671" w:type="dxa"/>
            <w:tcBorders>
              <w:top w:val="single" w:sz="8" w:space="0" w:color="auto"/>
              <w:left w:val="single" w:sz="8" w:space="0" w:color="auto"/>
              <w:bottom w:val="single" w:sz="8" w:space="0" w:color="auto"/>
              <w:right w:val="single" w:sz="8" w:space="0" w:color="auto"/>
            </w:tcBorders>
            <w:shd w:val="clear" w:color="auto" w:fill="C0C0C0"/>
            <w:hideMark/>
          </w:tcPr>
          <w:p w14:paraId="7D8D53B9" w14:textId="77777777" w:rsidR="00BE6ABF" w:rsidRPr="0018475F" w:rsidRDefault="00BE6ABF" w:rsidP="00BE6ABF">
            <w:pPr>
              <w:pStyle w:val="TableHeadingCenter"/>
            </w:pPr>
            <w:r w:rsidRPr="0018475F">
              <w:rPr>
                <w:bCs/>
                <w:lang w:val="sk"/>
              </w:rPr>
              <w:t>Počet pozitívnych/všetkých prípadov</w:t>
            </w:r>
          </w:p>
        </w:tc>
      </w:tr>
      <w:tr w:rsidR="00BE6ABF" w:rsidRPr="0018475F" w14:paraId="66919468"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5BDFEAC9" w14:textId="77777777" w:rsidR="00BE6ABF" w:rsidRPr="0018475F" w:rsidRDefault="00BE6ABF" w:rsidP="00BE6ABF">
            <w:pPr>
              <w:pStyle w:val="TableTextLeft"/>
            </w:pPr>
            <w:r w:rsidRPr="0018475F">
              <w:rPr>
                <w:lang w:val="sk"/>
              </w:rPr>
              <w:t>Astrocytóm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383F1190" w14:textId="77777777" w:rsidR="00BE6ABF" w:rsidRPr="0018475F" w:rsidRDefault="00BE6ABF" w:rsidP="00BE6ABF">
            <w:pPr>
              <w:pStyle w:val="TableTextCentered"/>
            </w:pPr>
            <w:r w:rsidRPr="0018475F">
              <w:rPr>
                <w:lang w:val="sk"/>
              </w:rPr>
              <w:t>36/38</w:t>
            </w:r>
          </w:p>
        </w:tc>
      </w:tr>
      <w:tr w:rsidR="00BE6ABF" w:rsidRPr="0018475F" w14:paraId="248C8931"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79F7447A" w14:textId="77777777" w:rsidR="00BE6ABF" w:rsidRPr="0018475F" w:rsidRDefault="00BE6ABF" w:rsidP="00BE6ABF">
            <w:pPr>
              <w:pStyle w:val="TableTextLeft"/>
            </w:pPr>
            <w:r w:rsidRPr="0018475F">
              <w:rPr>
                <w:lang w:val="sk"/>
              </w:rPr>
              <w:t>Glioblastóm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1E0AEF56" w14:textId="77777777" w:rsidR="00BE6ABF" w:rsidRPr="0018475F" w:rsidRDefault="00BE6ABF" w:rsidP="00BE6ABF">
            <w:pPr>
              <w:pStyle w:val="TableTextCentered"/>
            </w:pPr>
            <w:r w:rsidRPr="0018475F">
              <w:rPr>
                <w:lang w:val="sk"/>
              </w:rPr>
              <w:t>4/5</w:t>
            </w:r>
          </w:p>
        </w:tc>
      </w:tr>
      <w:tr w:rsidR="00BE6ABF" w:rsidRPr="0018475F" w14:paraId="6B5EA15A"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3E77D333" w14:textId="77777777" w:rsidR="00BE6ABF" w:rsidRPr="0018475F" w:rsidRDefault="00BE6ABF" w:rsidP="00BE6ABF">
            <w:pPr>
              <w:pStyle w:val="TableTextLeft"/>
            </w:pPr>
            <w:r w:rsidRPr="0018475F">
              <w:rPr>
                <w:lang w:val="sk"/>
              </w:rPr>
              <w:t>Oligodendroglióm</w:t>
            </w:r>
          </w:p>
        </w:tc>
        <w:tc>
          <w:tcPr>
            <w:tcW w:w="2671" w:type="dxa"/>
            <w:tcBorders>
              <w:top w:val="single" w:sz="8" w:space="0" w:color="auto"/>
              <w:left w:val="single" w:sz="8" w:space="0" w:color="auto"/>
              <w:bottom w:val="single" w:sz="8" w:space="0" w:color="auto"/>
              <w:right w:val="single" w:sz="8" w:space="0" w:color="auto"/>
            </w:tcBorders>
            <w:vAlign w:val="center"/>
            <w:hideMark/>
          </w:tcPr>
          <w:p w14:paraId="15EE206D" w14:textId="77777777" w:rsidR="00BE6ABF" w:rsidRPr="0018475F" w:rsidRDefault="00BE6ABF" w:rsidP="00BE6ABF">
            <w:pPr>
              <w:pStyle w:val="TableTextCentered"/>
            </w:pPr>
            <w:r w:rsidRPr="0018475F">
              <w:rPr>
                <w:lang w:val="sk"/>
              </w:rPr>
              <w:t>5/5</w:t>
            </w:r>
          </w:p>
        </w:tc>
      </w:tr>
      <w:tr w:rsidR="00BE6ABF" w:rsidRPr="0018475F" w14:paraId="4E14FBF5"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2860FCE6" w14:textId="77777777" w:rsidR="00BE6ABF" w:rsidRPr="0018475F" w:rsidRDefault="00BE6ABF" w:rsidP="00BE6ABF">
            <w:pPr>
              <w:pStyle w:val="TableTextLeft"/>
            </w:pPr>
            <w:r w:rsidRPr="0018475F">
              <w:rPr>
                <w:lang w:val="sk"/>
              </w:rPr>
              <w:t>Ependymóm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2BD2B921" w14:textId="77777777" w:rsidR="00BE6ABF" w:rsidRPr="0018475F" w:rsidRDefault="00BE6ABF" w:rsidP="00BE6ABF">
            <w:pPr>
              <w:pStyle w:val="TableTextCentered"/>
            </w:pPr>
            <w:r w:rsidRPr="0018475F">
              <w:rPr>
                <w:lang w:val="sk"/>
              </w:rPr>
              <w:t>2/2</w:t>
            </w:r>
          </w:p>
        </w:tc>
      </w:tr>
      <w:tr w:rsidR="00BE6ABF" w:rsidRPr="0018475F" w14:paraId="0D978290"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1612BF19" w14:textId="77777777" w:rsidR="00BE6ABF" w:rsidRPr="0018475F" w:rsidRDefault="00BE6ABF" w:rsidP="00BE6ABF">
            <w:pPr>
              <w:pStyle w:val="TableTextLeft"/>
            </w:pPr>
            <w:r w:rsidRPr="0018475F">
              <w:rPr>
                <w:lang w:val="sk"/>
              </w:rPr>
              <w:t>Meduloblastóm (mozoček)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6839D46F" w14:textId="77777777" w:rsidR="00BE6ABF" w:rsidRPr="0018475F" w:rsidRDefault="00BE6ABF" w:rsidP="00BE6ABF">
            <w:pPr>
              <w:pStyle w:val="TableTextCentered"/>
            </w:pPr>
            <w:r w:rsidRPr="0018475F">
              <w:rPr>
                <w:lang w:val="sk"/>
              </w:rPr>
              <w:t>1/1</w:t>
            </w:r>
          </w:p>
        </w:tc>
      </w:tr>
      <w:tr w:rsidR="00BE6ABF" w:rsidRPr="0018475F" w14:paraId="7A6B92E8"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087898CC" w14:textId="77777777" w:rsidR="00BE6ABF" w:rsidRPr="0018475F" w:rsidRDefault="00BE6ABF" w:rsidP="00BE6ABF">
            <w:pPr>
              <w:pStyle w:val="TableTextLeft"/>
            </w:pPr>
            <w:r w:rsidRPr="0018475F">
              <w:rPr>
                <w:lang w:val="sk"/>
              </w:rPr>
              <w:t>Meningeóm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158A6C5B" w14:textId="77777777" w:rsidR="00BE6ABF" w:rsidRPr="0018475F" w:rsidRDefault="00BE6ABF" w:rsidP="00BE6ABF">
            <w:pPr>
              <w:pStyle w:val="TableTextCentered"/>
            </w:pPr>
            <w:r w:rsidRPr="0018475F">
              <w:rPr>
                <w:lang w:val="sk"/>
              </w:rPr>
              <w:t>3/4</w:t>
            </w:r>
          </w:p>
        </w:tc>
      </w:tr>
      <w:tr w:rsidR="00BE6ABF" w:rsidRPr="0018475F" w14:paraId="082D912A"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0BEFC2CC" w14:textId="77777777" w:rsidR="00BE6ABF" w:rsidRPr="0018475F" w:rsidRDefault="00BE6ABF" w:rsidP="00BE6ABF">
            <w:pPr>
              <w:pStyle w:val="TableTextLeft"/>
            </w:pPr>
            <w:r w:rsidRPr="0018475F">
              <w:rPr>
                <w:lang w:val="sk"/>
              </w:rPr>
              <w:lastRenderedPageBreak/>
              <w:t>Atypický meningióm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0810D0F9" w14:textId="77777777" w:rsidR="00BE6ABF" w:rsidRPr="0018475F" w:rsidRDefault="00BE6ABF" w:rsidP="00BE6ABF">
            <w:pPr>
              <w:pStyle w:val="TableTextCentered"/>
            </w:pPr>
            <w:r w:rsidRPr="0018475F">
              <w:rPr>
                <w:lang w:val="sk"/>
              </w:rPr>
              <w:t>1/2</w:t>
            </w:r>
          </w:p>
        </w:tc>
      </w:tr>
      <w:tr w:rsidR="00BE6ABF" w:rsidRPr="0018475F" w14:paraId="42993FC4"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5726AE48" w14:textId="77777777" w:rsidR="00BE6ABF" w:rsidRPr="0018475F" w:rsidRDefault="00BE6ABF" w:rsidP="00BE6ABF">
            <w:pPr>
              <w:pStyle w:val="TableTextLeft"/>
            </w:pPr>
            <w:r w:rsidRPr="0018475F">
              <w:rPr>
                <w:lang w:val="sk"/>
              </w:rPr>
              <w:t>Meningeóm, fibroblastický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01F8D893" w14:textId="77777777" w:rsidR="00BE6ABF" w:rsidRPr="0018475F" w:rsidRDefault="00BE6ABF" w:rsidP="00BE6ABF">
            <w:pPr>
              <w:pStyle w:val="TableTextCentered"/>
            </w:pPr>
            <w:r w:rsidRPr="0018475F">
              <w:rPr>
                <w:lang w:val="sk"/>
              </w:rPr>
              <w:t>6/7</w:t>
            </w:r>
          </w:p>
        </w:tc>
      </w:tr>
      <w:tr w:rsidR="00BE6ABF" w:rsidRPr="0018475F" w14:paraId="09165D2C"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0C301D2C" w14:textId="77777777" w:rsidR="00BE6ABF" w:rsidRPr="0018475F" w:rsidRDefault="00BE6ABF" w:rsidP="00BE6ABF">
            <w:pPr>
              <w:pStyle w:val="TableTextLeft"/>
            </w:pPr>
            <w:r w:rsidRPr="0018475F">
              <w:rPr>
                <w:lang w:val="sk"/>
              </w:rPr>
              <w:t>Meningeóm, meningoteliálny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2CDBD8BC" w14:textId="77777777" w:rsidR="00BE6ABF" w:rsidRPr="0018475F" w:rsidRDefault="00BE6ABF" w:rsidP="00BE6ABF">
            <w:pPr>
              <w:pStyle w:val="TableTextCentered"/>
            </w:pPr>
            <w:r w:rsidRPr="0018475F">
              <w:rPr>
                <w:lang w:val="sk"/>
              </w:rPr>
              <w:t>0/2</w:t>
            </w:r>
          </w:p>
        </w:tc>
      </w:tr>
      <w:tr w:rsidR="00BE6ABF" w:rsidRPr="0018475F" w14:paraId="05D83112"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3A010F4A" w14:textId="77777777" w:rsidR="00BE6ABF" w:rsidRPr="0018475F" w:rsidRDefault="00BE6ABF" w:rsidP="00BE6ABF">
            <w:pPr>
              <w:pStyle w:val="TableTextLeft"/>
            </w:pPr>
            <w:r w:rsidRPr="0018475F">
              <w:rPr>
                <w:lang w:val="sk"/>
              </w:rPr>
              <w:t>Meningeóm, psamomatózny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55B46D76" w14:textId="77777777" w:rsidR="00BE6ABF" w:rsidRPr="0018475F" w:rsidRDefault="00BE6ABF" w:rsidP="00BE6ABF">
            <w:pPr>
              <w:pStyle w:val="TableTextCentered"/>
            </w:pPr>
            <w:r w:rsidRPr="0018475F">
              <w:rPr>
                <w:lang w:val="sk"/>
              </w:rPr>
              <w:t>3/4</w:t>
            </w:r>
          </w:p>
        </w:tc>
      </w:tr>
      <w:tr w:rsidR="00BE6ABF" w:rsidRPr="0018475F" w14:paraId="360685B4"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51DF33EA" w14:textId="77777777" w:rsidR="00BE6ABF" w:rsidRPr="0018475F" w:rsidRDefault="00BE6ABF" w:rsidP="00BE6ABF">
            <w:pPr>
              <w:pStyle w:val="TableTextLeft"/>
            </w:pPr>
            <w:r w:rsidRPr="0018475F">
              <w:rPr>
                <w:lang w:val="sk"/>
              </w:rPr>
              <w:t>Meningeóm, prechodný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7AD77092" w14:textId="77777777" w:rsidR="00BE6ABF" w:rsidRPr="0018475F" w:rsidRDefault="00BE6ABF" w:rsidP="00BE6ABF">
            <w:pPr>
              <w:pStyle w:val="TableTextCentered"/>
            </w:pPr>
            <w:r w:rsidRPr="0018475F">
              <w:rPr>
                <w:lang w:val="sk"/>
              </w:rPr>
              <w:t>1/2</w:t>
            </w:r>
          </w:p>
        </w:tc>
      </w:tr>
      <w:tr w:rsidR="00BE6ABF" w:rsidRPr="0018475F" w14:paraId="163EAC7B"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33441D30" w14:textId="77777777" w:rsidR="00BE6ABF" w:rsidRPr="0018475F" w:rsidRDefault="00BE6ABF" w:rsidP="00BE6ABF">
            <w:pPr>
              <w:pStyle w:val="TableTextLeft"/>
            </w:pPr>
            <w:r w:rsidRPr="0018475F">
              <w:rPr>
                <w:lang w:val="sk"/>
              </w:rPr>
              <w:t>Anaplastický meningeóm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57208943" w14:textId="77777777" w:rsidR="00BE6ABF" w:rsidRPr="0018475F" w:rsidRDefault="00BE6ABF" w:rsidP="00BE6ABF">
            <w:pPr>
              <w:pStyle w:val="TableTextCentered"/>
            </w:pPr>
            <w:r w:rsidRPr="0018475F">
              <w:rPr>
                <w:lang w:val="sk"/>
              </w:rPr>
              <w:t>2/6</w:t>
            </w:r>
          </w:p>
        </w:tc>
      </w:tr>
      <w:tr w:rsidR="00BE6ABF" w:rsidRPr="0018475F" w14:paraId="639A427E"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7D6B95B0" w14:textId="77777777" w:rsidR="00BE6ABF" w:rsidRPr="0018475F" w:rsidRDefault="00BE6ABF" w:rsidP="00BE6ABF">
            <w:pPr>
              <w:pStyle w:val="TableTextLeft"/>
            </w:pPr>
            <w:r w:rsidRPr="0018475F">
              <w:rPr>
                <w:lang w:val="sk"/>
              </w:rPr>
              <w:t>Schwannóm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235A8B2F" w14:textId="77777777" w:rsidR="00BE6ABF" w:rsidRPr="0018475F" w:rsidRDefault="00BE6ABF" w:rsidP="00BE6ABF">
            <w:pPr>
              <w:pStyle w:val="TableTextCentered"/>
            </w:pPr>
            <w:r w:rsidRPr="0018475F">
              <w:rPr>
                <w:lang w:val="sk"/>
              </w:rPr>
              <w:t>3/3</w:t>
            </w:r>
          </w:p>
        </w:tc>
      </w:tr>
      <w:tr w:rsidR="00BE6ABF" w:rsidRPr="0018475F" w14:paraId="792A44BC"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2FF5D35C" w14:textId="77777777" w:rsidR="00BE6ABF" w:rsidRPr="0018475F" w:rsidRDefault="00BE6ABF" w:rsidP="00BE6ABF">
            <w:pPr>
              <w:pStyle w:val="TableTextLeft"/>
            </w:pPr>
            <w:r w:rsidRPr="0018475F">
              <w:rPr>
                <w:lang w:val="sk"/>
              </w:rPr>
              <w:t>Hemangioblastóm (mozoček)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04BA465E" w14:textId="77777777" w:rsidR="00BE6ABF" w:rsidRPr="0018475F" w:rsidRDefault="00BE6ABF" w:rsidP="00BE6ABF">
            <w:pPr>
              <w:pStyle w:val="TableTextCentered"/>
            </w:pPr>
            <w:r w:rsidRPr="0018475F">
              <w:rPr>
                <w:lang w:val="sk"/>
              </w:rPr>
              <w:t>0/1</w:t>
            </w:r>
          </w:p>
        </w:tc>
      </w:tr>
      <w:tr w:rsidR="00BE6ABF" w:rsidRPr="0018475F" w14:paraId="49830514"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659BD02A" w14:textId="77777777" w:rsidR="00BE6ABF" w:rsidRPr="0018475F" w:rsidRDefault="00BE6ABF" w:rsidP="00BE6ABF">
            <w:pPr>
              <w:pStyle w:val="TableTextLeft"/>
            </w:pPr>
            <w:r w:rsidRPr="0018475F">
              <w:rPr>
                <w:lang w:val="sk"/>
              </w:rPr>
              <w:t>Embryonálny nádor CNS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258DBC71" w14:textId="77777777" w:rsidR="00BE6ABF" w:rsidRPr="0018475F" w:rsidRDefault="00BE6ABF" w:rsidP="00BE6ABF">
            <w:pPr>
              <w:pStyle w:val="TableTextCentered"/>
            </w:pPr>
            <w:r w:rsidRPr="0018475F">
              <w:rPr>
                <w:lang w:val="sk"/>
              </w:rPr>
              <w:t>1/1</w:t>
            </w:r>
          </w:p>
        </w:tc>
      </w:tr>
      <w:tr w:rsidR="00BE6ABF" w:rsidRPr="0018475F" w14:paraId="5E14A945"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4266BBCA" w14:textId="77777777" w:rsidR="00BE6ABF" w:rsidRPr="0018475F" w:rsidRDefault="00BE6ABF" w:rsidP="00BE6ABF">
            <w:pPr>
              <w:pStyle w:val="TableTextLeft"/>
            </w:pPr>
            <w:r w:rsidRPr="0018475F">
              <w:rPr>
                <w:lang w:val="sk"/>
              </w:rPr>
              <w:t>Kraniofaryngióm</w:t>
            </w:r>
          </w:p>
        </w:tc>
        <w:tc>
          <w:tcPr>
            <w:tcW w:w="2671" w:type="dxa"/>
            <w:tcBorders>
              <w:top w:val="single" w:sz="8" w:space="0" w:color="auto"/>
              <w:left w:val="single" w:sz="8" w:space="0" w:color="auto"/>
              <w:bottom w:val="single" w:sz="8" w:space="0" w:color="auto"/>
              <w:right w:val="single" w:sz="8" w:space="0" w:color="auto"/>
            </w:tcBorders>
            <w:vAlign w:val="center"/>
            <w:hideMark/>
          </w:tcPr>
          <w:p w14:paraId="7A3F00F5" w14:textId="77777777" w:rsidR="00BE6ABF" w:rsidRPr="0018475F" w:rsidRDefault="00BE6ABF" w:rsidP="00BE6ABF">
            <w:pPr>
              <w:pStyle w:val="TableTextCentered"/>
            </w:pPr>
            <w:r w:rsidRPr="0018475F">
              <w:rPr>
                <w:lang w:val="sk"/>
              </w:rPr>
              <w:t>1/1</w:t>
            </w:r>
          </w:p>
        </w:tc>
      </w:tr>
      <w:tr w:rsidR="00BE6ABF" w:rsidRPr="0018475F" w14:paraId="61395BCF"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59AE960E" w14:textId="7DE8BF43" w:rsidR="00BE6ABF" w:rsidRPr="0018475F" w:rsidRDefault="008D357C" w:rsidP="00BE6ABF">
            <w:pPr>
              <w:pStyle w:val="TableTextLeft"/>
            </w:pPr>
            <w:r w:rsidRPr="0018475F">
              <w:rPr>
                <w:lang w:val="sk"/>
              </w:rPr>
              <w:t>N</w:t>
            </w:r>
            <w:r w:rsidR="00BE6ABF" w:rsidRPr="0018475F">
              <w:rPr>
                <w:lang w:val="sk"/>
              </w:rPr>
              <w:t>euroblastóm</w:t>
            </w:r>
          </w:p>
        </w:tc>
        <w:tc>
          <w:tcPr>
            <w:tcW w:w="2671" w:type="dxa"/>
            <w:tcBorders>
              <w:top w:val="single" w:sz="8" w:space="0" w:color="auto"/>
              <w:left w:val="single" w:sz="8" w:space="0" w:color="auto"/>
              <w:bottom w:val="single" w:sz="8" w:space="0" w:color="auto"/>
              <w:right w:val="single" w:sz="8" w:space="0" w:color="auto"/>
            </w:tcBorders>
            <w:vAlign w:val="center"/>
            <w:hideMark/>
          </w:tcPr>
          <w:p w14:paraId="19BF76B2" w14:textId="77777777" w:rsidR="00BE6ABF" w:rsidRPr="0018475F" w:rsidRDefault="00BE6ABF" w:rsidP="00BE6ABF">
            <w:pPr>
              <w:pStyle w:val="TableTextCentered"/>
            </w:pPr>
            <w:r w:rsidRPr="0018475F">
              <w:rPr>
                <w:lang w:val="sk"/>
              </w:rPr>
              <w:t>0/3</w:t>
            </w:r>
          </w:p>
        </w:tc>
      </w:tr>
      <w:tr w:rsidR="00BE6ABF" w:rsidRPr="0018475F" w14:paraId="768FA2AC"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70840989" w14:textId="77777777" w:rsidR="00BE6ABF" w:rsidRPr="0018475F" w:rsidRDefault="00BE6ABF" w:rsidP="00BE6ABF">
            <w:pPr>
              <w:pStyle w:val="TableTextLeft"/>
            </w:pPr>
            <w:r w:rsidRPr="0018475F">
              <w:rPr>
                <w:lang w:val="sk"/>
              </w:rPr>
              <w:t>Metastatický karcinóm (mozog)</w:t>
            </w:r>
          </w:p>
        </w:tc>
        <w:tc>
          <w:tcPr>
            <w:tcW w:w="2671" w:type="dxa"/>
            <w:tcBorders>
              <w:top w:val="single" w:sz="8" w:space="0" w:color="auto"/>
              <w:left w:val="single" w:sz="8" w:space="0" w:color="auto"/>
              <w:bottom w:val="single" w:sz="8" w:space="0" w:color="auto"/>
              <w:right w:val="single" w:sz="8" w:space="0" w:color="auto"/>
            </w:tcBorders>
            <w:vAlign w:val="center"/>
            <w:hideMark/>
          </w:tcPr>
          <w:p w14:paraId="146EB7D8" w14:textId="77777777" w:rsidR="00BE6ABF" w:rsidRPr="0018475F" w:rsidRDefault="00BE6ABF" w:rsidP="00BE6ABF">
            <w:pPr>
              <w:pStyle w:val="TableTextCentered"/>
            </w:pPr>
            <w:r w:rsidRPr="0018475F">
              <w:rPr>
                <w:lang w:val="sk"/>
              </w:rPr>
              <w:t>0/10</w:t>
            </w:r>
          </w:p>
        </w:tc>
      </w:tr>
      <w:tr w:rsidR="00BE6ABF" w:rsidRPr="0018475F" w14:paraId="0D00E735"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7F608C14" w14:textId="77777777" w:rsidR="00BE6ABF" w:rsidRPr="0018475F" w:rsidRDefault="00BE6ABF" w:rsidP="00BE6ABF">
            <w:pPr>
              <w:pStyle w:val="TableTextLeft"/>
            </w:pPr>
            <w:r w:rsidRPr="0018475F">
              <w:rPr>
                <w:lang w:val="sk"/>
              </w:rPr>
              <w:t>Adenokarcinóm (hlava a krk)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35EAD52D" w14:textId="77777777" w:rsidR="00BE6ABF" w:rsidRPr="0018475F" w:rsidRDefault="00BE6ABF" w:rsidP="00BE6ABF">
            <w:pPr>
              <w:pStyle w:val="TableTextCentered"/>
            </w:pPr>
            <w:r w:rsidRPr="0018475F">
              <w:rPr>
                <w:lang w:val="sk"/>
              </w:rPr>
              <w:t>1/1</w:t>
            </w:r>
          </w:p>
        </w:tc>
      </w:tr>
      <w:tr w:rsidR="00BE6ABF" w:rsidRPr="0018475F" w14:paraId="64E468F2"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76B29725" w14:textId="77777777" w:rsidR="00BE6ABF" w:rsidRPr="0018475F" w:rsidRDefault="00BE6ABF" w:rsidP="00BE6ABF">
            <w:pPr>
              <w:pStyle w:val="TableTextLeft"/>
            </w:pPr>
            <w:r w:rsidRPr="0018475F">
              <w:rPr>
                <w:lang w:val="sk"/>
              </w:rPr>
              <w:t>Karcinóm skvamóznych buniek (hlava a krk)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3C5D5DCD" w14:textId="77777777" w:rsidR="00BE6ABF" w:rsidRPr="0018475F" w:rsidRDefault="00BE6ABF" w:rsidP="00BE6ABF">
            <w:pPr>
              <w:pStyle w:val="TableTextCentered"/>
            </w:pPr>
            <w:r w:rsidRPr="0018475F">
              <w:rPr>
                <w:lang w:val="sk"/>
              </w:rPr>
              <w:t>0/1</w:t>
            </w:r>
          </w:p>
        </w:tc>
      </w:tr>
      <w:tr w:rsidR="00BE6ABF" w:rsidRPr="0018475F" w14:paraId="112A8912"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299B0633" w14:textId="77777777" w:rsidR="00BE6ABF" w:rsidRPr="0018475F" w:rsidRDefault="00BE6ABF" w:rsidP="00BE6ABF">
            <w:pPr>
              <w:pStyle w:val="TableTextLeft"/>
            </w:pPr>
            <w:r w:rsidRPr="0018475F">
              <w:rPr>
                <w:lang w:val="sk"/>
              </w:rPr>
              <w:t>Adenóm (nadoblička)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3B4996CA" w14:textId="77777777" w:rsidR="00BE6ABF" w:rsidRPr="0018475F" w:rsidRDefault="00BE6ABF" w:rsidP="00BE6ABF">
            <w:pPr>
              <w:pStyle w:val="TableTextCentered"/>
            </w:pPr>
            <w:r w:rsidRPr="0018475F">
              <w:rPr>
                <w:lang w:val="sk"/>
              </w:rPr>
              <w:t>0/1</w:t>
            </w:r>
          </w:p>
        </w:tc>
      </w:tr>
      <w:tr w:rsidR="00BE6ABF" w:rsidRPr="0018475F" w14:paraId="41A18F2B"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27D9282B" w14:textId="77777777" w:rsidR="00BE6ABF" w:rsidRPr="0018475F" w:rsidRDefault="00BE6ABF" w:rsidP="00BE6ABF">
            <w:pPr>
              <w:pStyle w:val="TableTextLeft"/>
            </w:pPr>
            <w:r w:rsidRPr="0018475F">
              <w:rPr>
                <w:lang w:val="sk"/>
              </w:rPr>
              <w:t>Adrenokortikálny karcinóm (nadoblička)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50E6CF0A" w14:textId="77777777" w:rsidR="00BE6ABF" w:rsidRPr="0018475F" w:rsidRDefault="00BE6ABF" w:rsidP="00BE6ABF">
            <w:pPr>
              <w:pStyle w:val="TableTextCentered"/>
            </w:pPr>
            <w:r w:rsidRPr="0018475F">
              <w:rPr>
                <w:lang w:val="sk"/>
              </w:rPr>
              <w:t>1/1</w:t>
            </w:r>
          </w:p>
        </w:tc>
      </w:tr>
      <w:tr w:rsidR="00BE6ABF" w:rsidRPr="0018475F" w14:paraId="3E89C957"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6DFE4AF8" w14:textId="77777777" w:rsidR="00BE6ABF" w:rsidRPr="0018475F" w:rsidRDefault="00BE6ABF" w:rsidP="00BE6ABF">
            <w:pPr>
              <w:pStyle w:val="TableTextLeft"/>
            </w:pPr>
            <w:r w:rsidRPr="0018475F">
              <w:rPr>
                <w:lang w:val="sk"/>
              </w:rPr>
              <w:t>Nádor granulóznych buniek (vaječník)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4F8F10F1" w14:textId="77777777" w:rsidR="00BE6ABF" w:rsidRPr="0018475F" w:rsidRDefault="00BE6ABF" w:rsidP="00BE6ABF">
            <w:pPr>
              <w:pStyle w:val="TableTextCentered"/>
            </w:pPr>
            <w:r w:rsidRPr="0018475F">
              <w:rPr>
                <w:lang w:val="sk"/>
              </w:rPr>
              <w:t>1/1</w:t>
            </w:r>
          </w:p>
        </w:tc>
      </w:tr>
      <w:tr w:rsidR="00BE6ABF" w:rsidRPr="0018475F" w14:paraId="0FD065D4" w14:textId="77777777" w:rsidTr="0018475F">
        <w:tc>
          <w:tcPr>
            <w:tcW w:w="2542" w:type="dxa"/>
            <w:tcBorders>
              <w:top w:val="single" w:sz="8" w:space="0" w:color="auto"/>
              <w:left w:val="single" w:sz="8" w:space="0" w:color="auto"/>
              <w:bottom w:val="single" w:sz="8" w:space="0" w:color="auto"/>
              <w:right w:val="single" w:sz="8" w:space="0" w:color="auto"/>
            </w:tcBorders>
            <w:vAlign w:val="bottom"/>
            <w:hideMark/>
          </w:tcPr>
          <w:p w14:paraId="46FDD5A3" w14:textId="77777777" w:rsidR="00BE6ABF" w:rsidRPr="0018475F" w:rsidRDefault="00BE6ABF" w:rsidP="00BE6ABF">
            <w:pPr>
              <w:pStyle w:val="TableTextLeft"/>
            </w:pPr>
            <w:r w:rsidRPr="0018475F">
              <w:rPr>
                <w:lang w:val="sk"/>
              </w:rPr>
              <w:t>Adenokarcinóm (vaječník)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12F9AF8D" w14:textId="77777777" w:rsidR="00BE6ABF" w:rsidRPr="0018475F" w:rsidRDefault="00BE6ABF" w:rsidP="00BE6ABF">
            <w:pPr>
              <w:pStyle w:val="TableTextCentered"/>
            </w:pPr>
            <w:r w:rsidRPr="0018475F">
              <w:rPr>
                <w:lang w:val="sk"/>
              </w:rPr>
              <w:t>0/2</w:t>
            </w:r>
          </w:p>
        </w:tc>
      </w:tr>
      <w:tr w:rsidR="00BE6ABF" w:rsidRPr="0018475F" w14:paraId="00584508"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48DF32EF" w14:textId="77777777" w:rsidR="00BE6ABF" w:rsidRPr="0018475F" w:rsidRDefault="00BE6ABF" w:rsidP="00BE6ABF">
            <w:pPr>
              <w:pStyle w:val="TableTextLeft"/>
            </w:pPr>
            <w:r w:rsidRPr="0018475F">
              <w:rPr>
                <w:lang w:val="sk"/>
              </w:rPr>
              <w:t>Adenokarcinóm (pankreas)</w:t>
            </w:r>
          </w:p>
        </w:tc>
        <w:tc>
          <w:tcPr>
            <w:tcW w:w="2671" w:type="dxa"/>
            <w:tcBorders>
              <w:top w:val="single" w:sz="8" w:space="0" w:color="auto"/>
              <w:left w:val="single" w:sz="8" w:space="0" w:color="auto"/>
              <w:bottom w:val="single" w:sz="8" w:space="0" w:color="auto"/>
              <w:right w:val="single" w:sz="8" w:space="0" w:color="auto"/>
            </w:tcBorders>
            <w:vAlign w:val="center"/>
            <w:hideMark/>
          </w:tcPr>
          <w:p w14:paraId="35B1C827" w14:textId="77777777" w:rsidR="00BE6ABF" w:rsidRPr="0018475F" w:rsidRDefault="00BE6ABF" w:rsidP="00BE6ABF">
            <w:pPr>
              <w:pStyle w:val="TableTextCentered"/>
            </w:pPr>
            <w:r w:rsidRPr="0018475F">
              <w:rPr>
                <w:lang w:val="sk"/>
              </w:rPr>
              <w:t>0/1</w:t>
            </w:r>
          </w:p>
        </w:tc>
      </w:tr>
      <w:tr w:rsidR="00BE6ABF" w:rsidRPr="0018475F" w14:paraId="0A66E341"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555CF49C" w14:textId="77777777" w:rsidR="00BE6ABF" w:rsidRPr="0018475F" w:rsidRDefault="00BE6ABF" w:rsidP="00BE6ABF">
            <w:pPr>
              <w:pStyle w:val="TableTextLeft"/>
            </w:pPr>
            <w:r w:rsidRPr="0018475F">
              <w:rPr>
                <w:lang w:val="sk"/>
              </w:rPr>
              <w:t>Seminóm (semenník)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6A20E10F" w14:textId="77777777" w:rsidR="00BE6ABF" w:rsidRPr="0018475F" w:rsidRDefault="00BE6ABF" w:rsidP="00BE6ABF">
            <w:pPr>
              <w:pStyle w:val="TableTextCentered"/>
            </w:pPr>
            <w:r w:rsidRPr="0018475F">
              <w:rPr>
                <w:lang w:val="sk"/>
              </w:rPr>
              <w:t>0/2</w:t>
            </w:r>
          </w:p>
        </w:tc>
      </w:tr>
      <w:tr w:rsidR="00BE6ABF" w:rsidRPr="0018475F" w14:paraId="33296E20"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2828F02F" w14:textId="77777777" w:rsidR="00BE6ABF" w:rsidRPr="0018475F" w:rsidRDefault="00BE6ABF" w:rsidP="00BE6ABF">
            <w:pPr>
              <w:pStyle w:val="TableTextLeft"/>
            </w:pPr>
            <w:r w:rsidRPr="0018475F">
              <w:rPr>
                <w:lang w:val="sk"/>
              </w:rPr>
              <w:t>Adenóm (štítna žľaza)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4592FE0F" w14:textId="77777777" w:rsidR="00BE6ABF" w:rsidRPr="0018475F" w:rsidRDefault="00BE6ABF" w:rsidP="00BE6ABF">
            <w:pPr>
              <w:pStyle w:val="TableTextCentered"/>
            </w:pPr>
            <w:r w:rsidRPr="0018475F">
              <w:rPr>
                <w:lang w:val="sk"/>
              </w:rPr>
              <w:t>0/3</w:t>
            </w:r>
          </w:p>
        </w:tc>
      </w:tr>
      <w:tr w:rsidR="00BE6ABF" w:rsidRPr="0018475F" w14:paraId="3771F032"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577291F2" w14:textId="77777777" w:rsidR="00BE6ABF" w:rsidRPr="0018475F" w:rsidRDefault="00BE6ABF" w:rsidP="00BE6ABF">
            <w:pPr>
              <w:pStyle w:val="TableTextLeft"/>
            </w:pPr>
            <w:r w:rsidRPr="0018475F">
              <w:rPr>
                <w:lang w:val="sk"/>
              </w:rPr>
              <w:t>Papilárny adenokarcinóm (štítna žľaza)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6155E653" w14:textId="77777777" w:rsidR="00BE6ABF" w:rsidRPr="0018475F" w:rsidRDefault="00BE6ABF" w:rsidP="00BE6ABF">
            <w:pPr>
              <w:pStyle w:val="TableTextCentered"/>
            </w:pPr>
            <w:r w:rsidRPr="0018475F">
              <w:rPr>
                <w:lang w:val="sk"/>
              </w:rPr>
              <w:t>0/1</w:t>
            </w:r>
          </w:p>
        </w:tc>
      </w:tr>
      <w:tr w:rsidR="00BE6ABF" w:rsidRPr="0018475F" w14:paraId="73C8150D"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2918732D" w14:textId="77777777" w:rsidR="00BE6ABF" w:rsidRPr="0018475F" w:rsidRDefault="00BE6ABF" w:rsidP="00BE6ABF">
            <w:pPr>
              <w:pStyle w:val="TableTextLeft"/>
            </w:pPr>
            <w:r w:rsidRPr="0018475F">
              <w:rPr>
                <w:lang w:val="sk"/>
              </w:rPr>
              <w:t>Fibroadenóm (prsník)</w:t>
            </w:r>
          </w:p>
        </w:tc>
        <w:tc>
          <w:tcPr>
            <w:tcW w:w="2671" w:type="dxa"/>
            <w:tcBorders>
              <w:top w:val="single" w:sz="8" w:space="0" w:color="auto"/>
              <w:left w:val="single" w:sz="8" w:space="0" w:color="auto"/>
              <w:bottom w:val="single" w:sz="8" w:space="0" w:color="auto"/>
              <w:right w:val="single" w:sz="8" w:space="0" w:color="auto"/>
            </w:tcBorders>
            <w:vAlign w:val="center"/>
          </w:tcPr>
          <w:p w14:paraId="2A0743FD" w14:textId="77777777" w:rsidR="00BE6ABF" w:rsidRPr="0018475F" w:rsidRDefault="00BE6ABF" w:rsidP="00BE6ABF">
            <w:pPr>
              <w:pStyle w:val="TableTextCentered"/>
            </w:pPr>
            <w:r w:rsidRPr="0018475F">
              <w:rPr>
                <w:lang w:val="sk"/>
              </w:rPr>
              <w:t>2/2</w:t>
            </w:r>
          </w:p>
        </w:tc>
      </w:tr>
      <w:tr w:rsidR="00BE6ABF" w:rsidRPr="0018475F" w14:paraId="7F99B1AD"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5DDC9340" w14:textId="77777777" w:rsidR="00BE6ABF" w:rsidRPr="0018475F" w:rsidRDefault="00BE6ABF" w:rsidP="00BE6ABF">
            <w:pPr>
              <w:pStyle w:val="TableTextLeft"/>
            </w:pPr>
            <w:r w:rsidRPr="0018475F">
              <w:rPr>
                <w:lang w:val="sk"/>
              </w:rPr>
              <w:t>Invazívny duktálny karcinóm (prsník)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7209DE15" w14:textId="77777777" w:rsidR="00BE6ABF" w:rsidRPr="0018475F" w:rsidRDefault="00BE6ABF" w:rsidP="00BE6ABF">
            <w:pPr>
              <w:pStyle w:val="TableTextCentered"/>
            </w:pPr>
            <w:r w:rsidRPr="0018475F">
              <w:rPr>
                <w:lang w:val="sk"/>
              </w:rPr>
              <w:t>6/21</w:t>
            </w:r>
          </w:p>
        </w:tc>
      </w:tr>
      <w:tr w:rsidR="00BE6ABF" w:rsidRPr="0018475F" w14:paraId="5581FBA5"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46424956" w14:textId="77777777" w:rsidR="00BE6ABF" w:rsidRPr="0018475F" w:rsidRDefault="00BE6ABF" w:rsidP="00BE6ABF">
            <w:pPr>
              <w:pStyle w:val="TableTextLeft"/>
            </w:pPr>
            <w:r w:rsidRPr="0018475F">
              <w:rPr>
                <w:lang w:val="sk"/>
              </w:rPr>
              <w:t>Invazívny lobulárny karcinóm (prsník)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78043C15" w14:textId="77777777" w:rsidR="00BE6ABF" w:rsidRPr="0018475F" w:rsidRDefault="00BE6ABF" w:rsidP="00BE6ABF">
            <w:pPr>
              <w:pStyle w:val="TableTextCentered"/>
            </w:pPr>
            <w:r w:rsidRPr="0018475F">
              <w:rPr>
                <w:lang w:val="sk"/>
              </w:rPr>
              <w:t>0/5</w:t>
            </w:r>
          </w:p>
        </w:tc>
      </w:tr>
      <w:tr w:rsidR="00BE6ABF" w:rsidRPr="0018475F" w14:paraId="61CE3B41"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769FD942" w14:textId="77777777" w:rsidR="00BE6ABF" w:rsidRPr="0018475F" w:rsidRDefault="00BE6ABF" w:rsidP="00BE6ABF">
            <w:pPr>
              <w:pStyle w:val="TableTextLeft"/>
            </w:pPr>
            <w:r w:rsidRPr="0018475F">
              <w:rPr>
                <w:lang w:val="sk"/>
              </w:rPr>
              <w:t>Metastatický duktálny karcinóm prsníka (lymfatická uzlina)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6D5E9D87" w14:textId="77777777" w:rsidR="00BE6ABF" w:rsidRPr="0018475F" w:rsidRDefault="00BE6ABF" w:rsidP="00BE6ABF">
            <w:pPr>
              <w:pStyle w:val="TableTextCentered"/>
            </w:pPr>
            <w:r w:rsidRPr="0018475F">
              <w:rPr>
                <w:lang w:val="sk"/>
              </w:rPr>
              <w:t>0/1</w:t>
            </w:r>
          </w:p>
        </w:tc>
      </w:tr>
      <w:tr w:rsidR="00BE6ABF" w:rsidRPr="0018475F" w14:paraId="7AF39A63"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3FC40627" w14:textId="77777777" w:rsidR="00BE6ABF" w:rsidRPr="0018475F" w:rsidRDefault="00BE6ABF" w:rsidP="00BE6ABF">
            <w:pPr>
              <w:pStyle w:val="TableTextLeft"/>
            </w:pPr>
            <w:r w:rsidRPr="0018475F">
              <w:rPr>
                <w:lang w:val="sk"/>
              </w:rPr>
              <w:t>Malobunkový karcinóm (pľúca)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5E2CE254" w14:textId="77777777" w:rsidR="00BE6ABF" w:rsidRPr="0018475F" w:rsidRDefault="00BE6ABF" w:rsidP="00BE6ABF">
            <w:pPr>
              <w:pStyle w:val="TableTextCentered"/>
            </w:pPr>
            <w:r w:rsidRPr="0018475F">
              <w:rPr>
                <w:lang w:val="sk"/>
              </w:rPr>
              <w:t>0/1</w:t>
            </w:r>
          </w:p>
        </w:tc>
      </w:tr>
      <w:tr w:rsidR="00BE6ABF" w:rsidRPr="0018475F" w14:paraId="0FD212D9"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6E76BB0D" w14:textId="77777777" w:rsidR="00BE6ABF" w:rsidRPr="0018475F" w:rsidRDefault="00BE6ABF" w:rsidP="00BE6ABF">
            <w:pPr>
              <w:pStyle w:val="TableTextLeft"/>
            </w:pPr>
            <w:r w:rsidRPr="0018475F">
              <w:rPr>
                <w:lang w:val="sk"/>
              </w:rPr>
              <w:t>Karcinóm skvamóznych buniek (pľúca)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5BF2E1EC" w14:textId="77777777" w:rsidR="00BE6ABF" w:rsidRPr="0018475F" w:rsidRDefault="00BE6ABF" w:rsidP="00BE6ABF">
            <w:pPr>
              <w:pStyle w:val="TableTextCentered"/>
            </w:pPr>
            <w:r w:rsidRPr="0018475F">
              <w:rPr>
                <w:lang w:val="sk"/>
              </w:rPr>
              <w:t>0/2</w:t>
            </w:r>
          </w:p>
        </w:tc>
      </w:tr>
      <w:tr w:rsidR="00BE6ABF" w:rsidRPr="0018475F" w14:paraId="59F16C63"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0929C8D5" w14:textId="77777777" w:rsidR="00BE6ABF" w:rsidRPr="0018475F" w:rsidRDefault="00BE6ABF" w:rsidP="00BE6ABF">
            <w:pPr>
              <w:pStyle w:val="TableTextLeft"/>
            </w:pPr>
            <w:r w:rsidRPr="0018475F">
              <w:rPr>
                <w:lang w:val="sk"/>
              </w:rPr>
              <w:t>Adenokarcinóm (pľúca)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230A371F" w14:textId="77777777" w:rsidR="00BE6ABF" w:rsidRPr="0018475F" w:rsidRDefault="00BE6ABF" w:rsidP="00BE6ABF">
            <w:pPr>
              <w:pStyle w:val="TableTextCentered"/>
            </w:pPr>
            <w:r w:rsidRPr="0018475F">
              <w:rPr>
                <w:lang w:val="sk"/>
              </w:rPr>
              <w:t>0/1</w:t>
            </w:r>
          </w:p>
        </w:tc>
      </w:tr>
      <w:tr w:rsidR="00BE6ABF" w:rsidRPr="0018475F" w14:paraId="3F299901"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1DD800C9" w14:textId="77777777" w:rsidR="00BE6ABF" w:rsidRPr="0018475F" w:rsidRDefault="00BE6ABF" w:rsidP="00BE6ABF">
            <w:pPr>
              <w:pStyle w:val="TableTextLeft"/>
            </w:pPr>
            <w:r w:rsidRPr="0018475F">
              <w:rPr>
                <w:lang w:val="sk"/>
              </w:rPr>
              <w:t>Metastatický karcinóm (pľúca)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02A2EB4D" w14:textId="77777777" w:rsidR="00BE6ABF" w:rsidRPr="0018475F" w:rsidRDefault="00BE6ABF" w:rsidP="00BE6ABF">
            <w:pPr>
              <w:pStyle w:val="TableTextCentered"/>
            </w:pPr>
            <w:r w:rsidRPr="0018475F">
              <w:rPr>
                <w:lang w:val="sk"/>
              </w:rPr>
              <w:t>0/1</w:t>
            </w:r>
          </w:p>
        </w:tc>
      </w:tr>
      <w:tr w:rsidR="00BE6ABF" w:rsidRPr="0018475F" w14:paraId="56BC30D1"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39DF7F67" w14:textId="77777777" w:rsidR="00BE6ABF" w:rsidRPr="0018475F" w:rsidRDefault="00BE6ABF" w:rsidP="00BE6ABF">
            <w:pPr>
              <w:pStyle w:val="TableTextLeft"/>
            </w:pPr>
            <w:r w:rsidRPr="0018475F">
              <w:rPr>
                <w:lang w:val="sk"/>
              </w:rPr>
              <w:t>Karcinóm skvamóznych buniek (pažerák)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4E275A33" w14:textId="77777777" w:rsidR="00BE6ABF" w:rsidRPr="0018475F" w:rsidRDefault="00BE6ABF" w:rsidP="00BE6ABF">
            <w:pPr>
              <w:pStyle w:val="TableTextCentered"/>
            </w:pPr>
            <w:r w:rsidRPr="0018475F">
              <w:rPr>
                <w:lang w:val="sk"/>
              </w:rPr>
              <w:t>0/3</w:t>
            </w:r>
          </w:p>
        </w:tc>
      </w:tr>
      <w:tr w:rsidR="00BE6ABF" w:rsidRPr="0018475F" w14:paraId="66E77EA7"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0CA9970C" w14:textId="77777777" w:rsidR="00BE6ABF" w:rsidRPr="0018475F" w:rsidRDefault="00BE6ABF" w:rsidP="00BE6ABF">
            <w:pPr>
              <w:pStyle w:val="TableTextLeft"/>
            </w:pPr>
            <w:r w:rsidRPr="0018475F">
              <w:rPr>
                <w:lang w:val="sk"/>
              </w:rPr>
              <w:t>Metastatický karcinóm skvamóznych buniek pažeráka (lymfatická uzlina)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61146805" w14:textId="77777777" w:rsidR="00BE6ABF" w:rsidRPr="0018475F" w:rsidRDefault="00BE6ABF" w:rsidP="00BE6ABF">
            <w:pPr>
              <w:pStyle w:val="TableTextCentered"/>
            </w:pPr>
            <w:r w:rsidRPr="0018475F">
              <w:rPr>
                <w:lang w:val="sk"/>
              </w:rPr>
              <w:t>0/1</w:t>
            </w:r>
          </w:p>
        </w:tc>
      </w:tr>
      <w:tr w:rsidR="00BE6ABF" w:rsidRPr="0018475F" w14:paraId="76D2A259"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59F2A9A7" w14:textId="77777777" w:rsidR="00BE6ABF" w:rsidRPr="0018475F" w:rsidRDefault="00BE6ABF" w:rsidP="00BE6ABF">
            <w:pPr>
              <w:pStyle w:val="TableTextLeft"/>
            </w:pPr>
            <w:r w:rsidRPr="0018475F">
              <w:rPr>
                <w:lang w:val="sk"/>
              </w:rPr>
              <w:t>Adenokarcinóm (žalúdok)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4D635577" w14:textId="77777777" w:rsidR="00BE6ABF" w:rsidRPr="0018475F" w:rsidRDefault="00BE6ABF" w:rsidP="00BE6ABF">
            <w:pPr>
              <w:pStyle w:val="TableTextCentered"/>
            </w:pPr>
            <w:r w:rsidRPr="0018475F">
              <w:rPr>
                <w:lang w:val="sk"/>
              </w:rPr>
              <w:t>0/2</w:t>
            </w:r>
          </w:p>
        </w:tc>
      </w:tr>
      <w:tr w:rsidR="00BE6ABF" w:rsidRPr="0018475F" w14:paraId="64704D2B"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09AB34A9" w14:textId="77777777" w:rsidR="00BE6ABF" w:rsidRPr="0018475F" w:rsidRDefault="00BE6ABF" w:rsidP="00BE6ABF">
            <w:pPr>
              <w:pStyle w:val="TableTextLeft"/>
            </w:pPr>
            <w:r w:rsidRPr="0018475F">
              <w:rPr>
                <w:lang w:val="sk"/>
              </w:rPr>
              <w:t>Adenóm (tenké črevo)</w:t>
            </w:r>
          </w:p>
        </w:tc>
        <w:tc>
          <w:tcPr>
            <w:tcW w:w="2671" w:type="dxa"/>
            <w:tcBorders>
              <w:top w:val="single" w:sz="8" w:space="0" w:color="auto"/>
              <w:left w:val="single" w:sz="8" w:space="0" w:color="auto"/>
              <w:bottom w:val="single" w:sz="8" w:space="0" w:color="auto"/>
              <w:right w:val="single" w:sz="8" w:space="0" w:color="auto"/>
            </w:tcBorders>
            <w:vAlign w:val="center"/>
            <w:hideMark/>
          </w:tcPr>
          <w:p w14:paraId="080FE27B" w14:textId="77777777" w:rsidR="00BE6ABF" w:rsidRPr="0018475F" w:rsidRDefault="00BE6ABF" w:rsidP="00BE6ABF">
            <w:pPr>
              <w:pStyle w:val="TableTextCentered"/>
            </w:pPr>
            <w:r w:rsidRPr="0018475F">
              <w:rPr>
                <w:lang w:val="sk"/>
              </w:rPr>
              <w:t>0/1</w:t>
            </w:r>
          </w:p>
        </w:tc>
      </w:tr>
      <w:tr w:rsidR="00BE6ABF" w:rsidRPr="0018475F" w14:paraId="69D48E6D"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434D4536" w14:textId="77777777" w:rsidR="00BE6ABF" w:rsidRPr="0018475F" w:rsidRDefault="00BE6ABF" w:rsidP="00BE6ABF">
            <w:pPr>
              <w:pStyle w:val="TableTextLeft"/>
            </w:pPr>
            <w:r w:rsidRPr="0018475F">
              <w:rPr>
                <w:lang w:val="sk"/>
              </w:rPr>
              <w:t>Adenokarcinóm (tenké črevo)</w:t>
            </w:r>
          </w:p>
        </w:tc>
        <w:tc>
          <w:tcPr>
            <w:tcW w:w="2671" w:type="dxa"/>
            <w:tcBorders>
              <w:top w:val="single" w:sz="8" w:space="0" w:color="auto"/>
              <w:left w:val="single" w:sz="8" w:space="0" w:color="auto"/>
              <w:bottom w:val="single" w:sz="8" w:space="0" w:color="auto"/>
              <w:right w:val="single" w:sz="8" w:space="0" w:color="auto"/>
            </w:tcBorders>
            <w:vAlign w:val="center"/>
            <w:hideMark/>
          </w:tcPr>
          <w:p w14:paraId="0664F340" w14:textId="77777777" w:rsidR="00BE6ABF" w:rsidRPr="0018475F" w:rsidRDefault="00BE6ABF" w:rsidP="00BE6ABF">
            <w:pPr>
              <w:pStyle w:val="TableTextCentered"/>
            </w:pPr>
            <w:r w:rsidRPr="0018475F">
              <w:rPr>
                <w:lang w:val="sk"/>
              </w:rPr>
              <w:t>0/1</w:t>
            </w:r>
          </w:p>
        </w:tc>
      </w:tr>
      <w:tr w:rsidR="00BE6ABF" w:rsidRPr="0018475F" w14:paraId="3C5D9B50"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1A68E3EF" w14:textId="77777777" w:rsidR="00BE6ABF" w:rsidRPr="0018475F" w:rsidRDefault="00BE6ABF" w:rsidP="00BE6ABF">
            <w:pPr>
              <w:pStyle w:val="TableTextLeft"/>
            </w:pPr>
            <w:r w:rsidRPr="0018475F">
              <w:rPr>
                <w:lang w:val="sk"/>
              </w:rPr>
              <w:t>Adenóm (hrubé črevo)</w:t>
            </w:r>
          </w:p>
        </w:tc>
        <w:tc>
          <w:tcPr>
            <w:tcW w:w="2671" w:type="dxa"/>
            <w:tcBorders>
              <w:top w:val="single" w:sz="8" w:space="0" w:color="auto"/>
              <w:left w:val="single" w:sz="8" w:space="0" w:color="auto"/>
              <w:bottom w:val="single" w:sz="8" w:space="0" w:color="auto"/>
              <w:right w:val="single" w:sz="8" w:space="0" w:color="auto"/>
            </w:tcBorders>
            <w:vAlign w:val="center"/>
            <w:hideMark/>
          </w:tcPr>
          <w:p w14:paraId="44FD16B9" w14:textId="77777777" w:rsidR="00BE6ABF" w:rsidRPr="0018475F" w:rsidRDefault="00BE6ABF" w:rsidP="00BE6ABF">
            <w:pPr>
              <w:pStyle w:val="TableTextCentered"/>
            </w:pPr>
            <w:r w:rsidRPr="0018475F">
              <w:rPr>
                <w:lang w:val="sk"/>
              </w:rPr>
              <w:t>0/1</w:t>
            </w:r>
          </w:p>
        </w:tc>
      </w:tr>
      <w:tr w:rsidR="00BE6ABF" w:rsidRPr="0018475F" w14:paraId="7E0D5CC3"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6E1C1950" w14:textId="77777777" w:rsidR="00BE6ABF" w:rsidRPr="0018475F" w:rsidRDefault="00BE6ABF" w:rsidP="00BE6ABF">
            <w:pPr>
              <w:pStyle w:val="TableTextLeft"/>
            </w:pPr>
            <w:r w:rsidRPr="0018475F">
              <w:rPr>
                <w:lang w:val="sk"/>
              </w:rPr>
              <w:t>Adenokarcinóm (hrubé črevo)</w:t>
            </w:r>
          </w:p>
        </w:tc>
        <w:tc>
          <w:tcPr>
            <w:tcW w:w="2671" w:type="dxa"/>
            <w:tcBorders>
              <w:top w:val="single" w:sz="8" w:space="0" w:color="auto"/>
              <w:left w:val="single" w:sz="8" w:space="0" w:color="auto"/>
              <w:bottom w:val="single" w:sz="8" w:space="0" w:color="auto"/>
              <w:right w:val="single" w:sz="8" w:space="0" w:color="auto"/>
            </w:tcBorders>
            <w:vAlign w:val="center"/>
            <w:hideMark/>
          </w:tcPr>
          <w:p w14:paraId="4703F651" w14:textId="77777777" w:rsidR="00BE6ABF" w:rsidRPr="0018475F" w:rsidRDefault="00BE6ABF" w:rsidP="00BE6ABF">
            <w:pPr>
              <w:pStyle w:val="TableTextCentered"/>
            </w:pPr>
            <w:r w:rsidRPr="0018475F">
              <w:rPr>
                <w:lang w:val="sk"/>
              </w:rPr>
              <w:t>0/4</w:t>
            </w:r>
          </w:p>
        </w:tc>
      </w:tr>
      <w:tr w:rsidR="00BE6ABF" w:rsidRPr="0018475F" w14:paraId="66C527B9"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61AC8EC9" w14:textId="77777777" w:rsidR="00BE6ABF" w:rsidRPr="0018475F" w:rsidRDefault="00BE6ABF" w:rsidP="00BE6ABF">
            <w:pPr>
              <w:pStyle w:val="TableTextLeft"/>
            </w:pPr>
            <w:r w:rsidRPr="0018475F">
              <w:rPr>
                <w:lang w:val="sk"/>
              </w:rPr>
              <w:t>Metastatický karcinóm z prstencových buniek hrubého čreva (vaječník)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33EEAF3B" w14:textId="77777777" w:rsidR="00BE6ABF" w:rsidRPr="0018475F" w:rsidRDefault="00BE6ABF" w:rsidP="00BE6ABF">
            <w:pPr>
              <w:pStyle w:val="TableTextCentered"/>
            </w:pPr>
            <w:r w:rsidRPr="0018475F">
              <w:rPr>
                <w:lang w:val="sk"/>
              </w:rPr>
              <w:t>0/1</w:t>
            </w:r>
          </w:p>
        </w:tc>
      </w:tr>
      <w:tr w:rsidR="00BE6ABF" w:rsidRPr="0018475F" w14:paraId="1A7CE3B7"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3491D460" w14:textId="77777777" w:rsidR="00BE6ABF" w:rsidRPr="0018475F" w:rsidRDefault="00BE6ABF" w:rsidP="00BE6ABF">
            <w:pPr>
              <w:pStyle w:val="TableTextLeft"/>
            </w:pPr>
            <w:r w:rsidRPr="0018475F">
              <w:rPr>
                <w:lang w:val="sk"/>
              </w:rPr>
              <w:t>Metastatický adenokarcinóm hrubého čreva (pečeň)</w:t>
            </w:r>
          </w:p>
        </w:tc>
        <w:tc>
          <w:tcPr>
            <w:tcW w:w="2671" w:type="dxa"/>
            <w:tcBorders>
              <w:top w:val="single" w:sz="8" w:space="0" w:color="auto"/>
              <w:left w:val="single" w:sz="8" w:space="0" w:color="auto"/>
              <w:bottom w:val="single" w:sz="8" w:space="0" w:color="auto"/>
              <w:right w:val="single" w:sz="8" w:space="0" w:color="auto"/>
            </w:tcBorders>
            <w:vAlign w:val="center"/>
            <w:hideMark/>
          </w:tcPr>
          <w:p w14:paraId="598D3D7E" w14:textId="77777777" w:rsidR="00BE6ABF" w:rsidRPr="0018475F" w:rsidRDefault="00BE6ABF" w:rsidP="00BE6ABF">
            <w:pPr>
              <w:pStyle w:val="TableTextCentered"/>
            </w:pPr>
            <w:r w:rsidRPr="0018475F">
              <w:rPr>
                <w:lang w:val="sk"/>
              </w:rPr>
              <w:t>0/1</w:t>
            </w:r>
          </w:p>
        </w:tc>
      </w:tr>
      <w:tr w:rsidR="00BE6ABF" w:rsidRPr="0018475F" w14:paraId="0F0B983D"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4438AE42" w14:textId="77777777" w:rsidR="00BE6ABF" w:rsidRPr="0018475F" w:rsidRDefault="00BE6ABF" w:rsidP="00BE6ABF">
            <w:pPr>
              <w:pStyle w:val="TableTextLeft"/>
            </w:pPr>
            <w:r w:rsidRPr="0018475F">
              <w:rPr>
                <w:lang w:val="sk"/>
              </w:rPr>
              <w:t>Adenokarcinóm (konečník)</w:t>
            </w:r>
          </w:p>
        </w:tc>
        <w:tc>
          <w:tcPr>
            <w:tcW w:w="2671" w:type="dxa"/>
            <w:tcBorders>
              <w:top w:val="single" w:sz="8" w:space="0" w:color="auto"/>
              <w:left w:val="single" w:sz="8" w:space="0" w:color="auto"/>
              <w:bottom w:val="single" w:sz="8" w:space="0" w:color="auto"/>
              <w:right w:val="single" w:sz="8" w:space="0" w:color="auto"/>
            </w:tcBorders>
            <w:vAlign w:val="center"/>
            <w:hideMark/>
          </w:tcPr>
          <w:p w14:paraId="4D81FE74" w14:textId="77777777" w:rsidR="00BE6ABF" w:rsidRPr="0018475F" w:rsidRDefault="00BE6ABF" w:rsidP="00BE6ABF">
            <w:pPr>
              <w:pStyle w:val="TableTextCentered"/>
            </w:pPr>
            <w:r w:rsidRPr="0018475F">
              <w:rPr>
                <w:lang w:val="sk"/>
              </w:rPr>
              <w:t>0/3</w:t>
            </w:r>
          </w:p>
        </w:tc>
      </w:tr>
      <w:tr w:rsidR="00BE6ABF" w:rsidRPr="0018475F" w14:paraId="585CE9B9"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4ADC0572" w14:textId="77777777" w:rsidR="00BE6ABF" w:rsidRPr="0018475F" w:rsidRDefault="00BE6ABF" w:rsidP="00BE6ABF">
            <w:pPr>
              <w:pStyle w:val="TableTextLeft"/>
            </w:pPr>
            <w:r w:rsidRPr="0018475F">
              <w:rPr>
                <w:lang w:val="sk"/>
              </w:rPr>
              <w:t>Hepatocelulárny karcinóm (pečeň)</w:t>
            </w:r>
          </w:p>
        </w:tc>
        <w:tc>
          <w:tcPr>
            <w:tcW w:w="2671" w:type="dxa"/>
            <w:tcBorders>
              <w:top w:val="single" w:sz="8" w:space="0" w:color="auto"/>
              <w:left w:val="single" w:sz="8" w:space="0" w:color="auto"/>
              <w:bottom w:val="single" w:sz="8" w:space="0" w:color="auto"/>
              <w:right w:val="single" w:sz="8" w:space="0" w:color="auto"/>
            </w:tcBorders>
            <w:vAlign w:val="center"/>
            <w:hideMark/>
          </w:tcPr>
          <w:p w14:paraId="75C9C379" w14:textId="77777777" w:rsidR="00BE6ABF" w:rsidRPr="0018475F" w:rsidRDefault="00BE6ABF" w:rsidP="00BE6ABF">
            <w:pPr>
              <w:pStyle w:val="TableTextCentered"/>
            </w:pPr>
            <w:r w:rsidRPr="0018475F">
              <w:rPr>
                <w:lang w:val="sk"/>
              </w:rPr>
              <w:t>0/4</w:t>
            </w:r>
          </w:p>
        </w:tc>
      </w:tr>
      <w:tr w:rsidR="00BE6ABF" w:rsidRPr="0018475F" w14:paraId="424F0186"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7F7F4647" w14:textId="77777777" w:rsidR="00BE6ABF" w:rsidRPr="0018475F" w:rsidRDefault="00BE6ABF" w:rsidP="00BE6ABF">
            <w:pPr>
              <w:pStyle w:val="TableTextLeft"/>
            </w:pPr>
            <w:r w:rsidRPr="0018475F">
              <w:rPr>
                <w:lang w:val="sk"/>
              </w:rPr>
              <w:t>Pleomorfný adenóm (hlava a krk, slinná žľaza)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50B81D75" w14:textId="77777777" w:rsidR="00BE6ABF" w:rsidRPr="0018475F" w:rsidRDefault="00BE6ABF" w:rsidP="00BE6ABF">
            <w:pPr>
              <w:pStyle w:val="TableTextCentered"/>
            </w:pPr>
            <w:r w:rsidRPr="0018475F">
              <w:rPr>
                <w:lang w:val="sk"/>
              </w:rPr>
              <w:t>1/1</w:t>
            </w:r>
          </w:p>
        </w:tc>
      </w:tr>
      <w:tr w:rsidR="00BE6ABF" w:rsidRPr="0018475F" w14:paraId="3359506A"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6BFA3A5C" w14:textId="77777777" w:rsidR="00BE6ABF" w:rsidRPr="0018475F" w:rsidRDefault="00BE6ABF" w:rsidP="00BE6ABF">
            <w:pPr>
              <w:pStyle w:val="TableTextLeft"/>
            </w:pPr>
            <w:r w:rsidRPr="0018475F">
              <w:rPr>
                <w:lang w:val="sk"/>
              </w:rPr>
              <w:t>Adenoidný cystický karcinóm (hlava a krk, slinná žľaza)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799DBC9A" w14:textId="77777777" w:rsidR="00BE6ABF" w:rsidRPr="0018475F" w:rsidRDefault="00BE6ABF" w:rsidP="00BE6ABF">
            <w:pPr>
              <w:pStyle w:val="TableTextCentered"/>
            </w:pPr>
            <w:r w:rsidRPr="0018475F">
              <w:rPr>
                <w:lang w:val="sk"/>
              </w:rPr>
              <w:t>1/1</w:t>
            </w:r>
          </w:p>
        </w:tc>
      </w:tr>
      <w:tr w:rsidR="00BE6ABF" w:rsidRPr="0018475F" w14:paraId="6B086BA6"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046EBEB7" w14:textId="77777777" w:rsidR="00BE6ABF" w:rsidRPr="0018475F" w:rsidRDefault="00BE6ABF" w:rsidP="00BE6ABF">
            <w:pPr>
              <w:pStyle w:val="TableTextLeft"/>
            </w:pPr>
            <w:r w:rsidRPr="0018475F">
              <w:rPr>
                <w:lang w:val="sk"/>
              </w:rPr>
              <w:t>Jasnobunkový karcinóm (oblička)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27971B8B" w14:textId="77777777" w:rsidR="00BE6ABF" w:rsidRPr="0018475F" w:rsidRDefault="00BE6ABF" w:rsidP="00BE6ABF">
            <w:pPr>
              <w:pStyle w:val="TableTextCentered"/>
            </w:pPr>
            <w:r w:rsidRPr="0018475F">
              <w:rPr>
                <w:lang w:val="sk"/>
              </w:rPr>
              <w:t>0/2</w:t>
            </w:r>
          </w:p>
        </w:tc>
      </w:tr>
      <w:tr w:rsidR="00BE6ABF" w:rsidRPr="0018475F" w14:paraId="5AD0AE2B"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3D16BC6F" w14:textId="77777777" w:rsidR="00BE6ABF" w:rsidRPr="0018475F" w:rsidRDefault="00BE6ABF" w:rsidP="00BE6ABF">
            <w:pPr>
              <w:pStyle w:val="TableTextLeft"/>
            </w:pPr>
            <w:r w:rsidRPr="0018475F">
              <w:rPr>
                <w:lang w:val="sk"/>
              </w:rPr>
              <w:t>Adenokarcinóm (prostata)</w:t>
            </w:r>
          </w:p>
        </w:tc>
        <w:tc>
          <w:tcPr>
            <w:tcW w:w="2671" w:type="dxa"/>
            <w:tcBorders>
              <w:top w:val="single" w:sz="8" w:space="0" w:color="auto"/>
              <w:left w:val="single" w:sz="8" w:space="0" w:color="auto"/>
              <w:bottom w:val="single" w:sz="8" w:space="0" w:color="auto"/>
              <w:right w:val="single" w:sz="8" w:space="0" w:color="auto"/>
            </w:tcBorders>
            <w:vAlign w:val="center"/>
            <w:hideMark/>
          </w:tcPr>
          <w:p w14:paraId="2C47D55A" w14:textId="77777777" w:rsidR="00BE6ABF" w:rsidRPr="0018475F" w:rsidRDefault="00BE6ABF" w:rsidP="00BE6ABF">
            <w:pPr>
              <w:pStyle w:val="TableTextCentered"/>
            </w:pPr>
            <w:r w:rsidRPr="0018475F">
              <w:rPr>
                <w:lang w:val="sk"/>
              </w:rPr>
              <w:t>0/2</w:t>
            </w:r>
          </w:p>
        </w:tc>
      </w:tr>
      <w:tr w:rsidR="00BE6ABF" w:rsidRPr="0018475F" w14:paraId="414BAFEE" w14:textId="77777777" w:rsidTr="0018475F">
        <w:tc>
          <w:tcPr>
            <w:tcW w:w="2542" w:type="dxa"/>
            <w:tcBorders>
              <w:top w:val="single" w:sz="8" w:space="0" w:color="auto"/>
              <w:left w:val="single" w:sz="8" w:space="0" w:color="auto"/>
              <w:bottom w:val="single" w:sz="8" w:space="0" w:color="auto"/>
              <w:right w:val="single" w:sz="8" w:space="0" w:color="auto"/>
            </w:tcBorders>
            <w:vAlign w:val="center"/>
            <w:hideMark/>
          </w:tcPr>
          <w:p w14:paraId="12B6849C" w14:textId="77777777" w:rsidR="00BE6ABF" w:rsidRPr="0018475F" w:rsidRDefault="00BE6ABF" w:rsidP="00BE6ABF">
            <w:pPr>
              <w:pStyle w:val="TableTextLeft"/>
            </w:pPr>
            <w:r w:rsidRPr="0018475F">
              <w:rPr>
                <w:lang w:val="sk"/>
              </w:rPr>
              <w:t>Karcinóm skvamóznych buniek (krčok maternice)</w:t>
            </w:r>
          </w:p>
        </w:tc>
        <w:tc>
          <w:tcPr>
            <w:tcW w:w="2671" w:type="dxa"/>
            <w:tcBorders>
              <w:top w:val="single" w:sz="8" w:space="0" w:color="auto"/>
              <w:left w:val="single" w:sz="8" w:space="0" w:color="auto"/>
              <w:bottom w:val="single" w:sz="8" w:space="0" w:color="auto"/>
              <w:right w:val="single" w:sz="8" w:space="0" w:color="auto"/>
            </w:tcBorders>
            <w:vAlign w:val="center"/>
            <w:hideMark/>
          </w:tcPr>
          <w:p w14:paraId="7F0A181B" w14:textId="77777777" w:rsidR="00BE6ABF" w:rsidRPr="0018475F" w:rsidRDefault="00BE6ABF" w:rsidP="00BE6ABF">
            <w:pPr>
              <w:pStyle w:val="TableTextCentered"/>
            </w:pPr>
            <w:r w:rsidRPr="0018475F">
              <w:rPr>
                <w:lang w:val="sk"/>
              </w:rPr>
              <w:t>0/2</w:t>
            </w:r>
          </w:p>
        </w:tc>
      </w:tr>
      <w:tr w:rsidR="00BE6ABF" w:rsidRPr="0018475F" w14:paraId="7AA5DB34"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0FA91B80" w14:textId="77777777" w:rsidR="00BE6ABF" w:rsidRPr="0018475F" w:rsidRDefault="00BE6ABF" w:rsidP="00BE6ABF">
            <w:pPr>
              <w:pStyle w:val="TableTextLeft"/>
            </w:pPr>
            <w:r w:rsidRPr="0018475F">
              <w:rPr>
                <w:lang w:val="sk"/>
              </w:rPr>
              <w:t>Adenokarcinóm (endometrium)</w:t>
            </w:r>
          </w:p>
        </w:tc>
        <w:tc>
          <w:tcPr>
            <w:tcW w:w="2671" w:type="dxa"/>
            <w:tcBorders>
              <w:top w:val="single" w:sz="8" w:space="0" w:color="auto"/>
              <w:left w:val="single" w:sz="8" w:space="0" w:color="auto"/>
              <w:bottom w:val="single" w:sz="8" w:space="0" w:color="auto"/>
              <w:right w:val="single" w:sz="8" w:space="0" w:color="auto"/>
            </w:tcBorders>
            <w:vAlign w:val="center"/>
          </w:tcPr>
          <w:p w14:paraId="6590AF66" w14:textId="77777777" w:rsidR="00BE6ABF" w:rsidRPr="0018475F" w:rsidRDefault="00BE6ABF" w:rsidP="00BE6ABF">
            <w:pPr>
              <w:pStyle w:val="TableTextCentered"/>
            </w:pPr>
            <w:r w:rsidRPr="0018475F">
              <w:rPr>
                <w:lang w:val="sk"/>
              </w:rPr>
              <w:t>0/2</w:t>
            </w:r>
          </w:p>
        </w:tc>
      </w:tr>
      <w:tr w:rsidR="00BE6ABF" w:rsidRPr="0018475F" w14:paraId="43B7B60D"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47D76375" w14:textId="77777777" w:rsidR="00BE6ABF" w:rsidRPr="0018475F" w:rsidRDefault="00BE6ABF" w:rsidP="00BE6ABF">
            <w:pPr>
              <w:pStyle w:val="TableTextLeft"/>
            </w:pPr>
            <w:r w:rsidRPr="0018475F">
              <w:rPr>
                <w:lang w:val="sk"/>
              </w:rPr>
              <w:t>Karcinóm skvamóznych buniek (koža)</w:t>
            </w:r>
          </w:p>
        </w:tc>
        <w:tc>
          <w:tcPr>
            <w:tcW w:w="2671" w:type="dxa"/>
            <w:tcBorders>
              <w:top w:val="single" w:sz="8" w:space="0" w:color="auto"/>
              <w:left w:val="single" w:sz="8" w:space="0" w:color="auto"/>
              <w:bottom w:val="single" w:sz="8" w:space="0" w:color="auto"/>
              <w:right w:val="single" w:sz="8" w:space="0" w:color="auto"/>
            </w:tcBorders>
            <w:vAlign w:val="center"/>
          </w:tcPr>
          <w:p w14:paraId="2D0F6C3A" w14:textId="77777777" w:rsidR="00BE6ABF" w:rsidRPr="0018475F" w:rsidRDefault="00BE6ABF" w:rsidP="00BE6ABF">
            <w:pPr>
              <w:pStyle w:val="TableTextCentered"/>
            </w:pPr>
            <w:r w:rsidRPr="0018475F">
              <w:rPr>
                <w:lang w:val="sk"/>
              </w:rPr>
              <w:t>0/6</w:t>
            </w:r>
          </w:p>
        </w:tc>
      </w:tr>
      <w:tr w:rsidR="00BE6ABF" w:rsidRPr="0018475F" w14:paraId="3422A888"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79CFE769" w14:textId="77777777" w:rsidR="00BE6ABF" w:rsidRPr="0018475F" w:rsidRDefault="00BE6ABF" w:rsidP="00BE6ABF">
            <w:pPr>
              <w:pStyle w:val="TableTextLeft"/>
            </w:pPr>
            <w:r w:rsidRPr="0018475F">
              <w:rPr>
                <w:lang w:val="sk"/>
              </w:rPr>
              <w:t>Karcinóm z bazálnych buniek (koža)</w:t>
            </w:r>
          </w:p>
        </w:tc>
        <w:tc>
          <w:tcPr>
            <w:tcW w:w="2671" w:type="dxa"/>
            <w:tcBorders>
              <w:top w:val="single" w:sz="8" w:space="0" w:color="auto"/>
              <w:left w:val="single" w:sz="8" w:space="0" w:color="auto"/>
              <w:bottom w:val="single" w:sz="8" w:space="0" w:color="auto"/>
              <w:right w:val="single" w:sz="8" w:space="0" w:color="auto"/>
            </w:tcBorders>
            <w:vAlign w:val="center"/>
          </w:tcPr>
          <w:p w14:paraId="37EDAD6B" w14:textId="77777777" w:rsidR="00BE6ABF" w:rsidRPr="0018475F" w:rsidRDefault="00BE6ABF" w:rsidP="00BE6ABF">
            <w:pPr>
              <w:pStyle w:val="TableTextCentered"/>
            </w:pPr>
            <w:r w:rsidRPr="0018475F">
              <w:rPr>
                <w:lang w:val="sk"/>
              </w:rPr>
              <w:t>0/5</w:t>
            </w:r>
          </w:p>
        </w:tc>
      </w:tr>
      <w:tr w:rsidR="00BE6ABF" w:rsidRPr="0018475F" w14:paraId="7032E23E"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30A827E6" w14:textId="77777777" w:rsidR="00BE6ABF" w:rsidRPr="0018475F" w:rsidRDefault="00BE6ABF" w:rsidP="00BE6ABF">
            <w:pPr>
              <w:pStyle w:val="TableTextLeft"/>
            </w:pPr>
            <w:r w:rsidRPr="0018475F">
              <w:rPr>
                <w:lang w:val="sk"/>
              </w:rPr>
              <w:t>Melanóm</w:t>
            </w:r>
          </w:p>
        </w:tc>
        <w:tc>
          <w:tcPr>
            <w:tcW w:w="2671" w:type="dxa"/>
            <w:tcBorders>
              <w:top w:val="single" w:sz="8" w:space="0" w:color="auto"/>
              <w:left w:val="single" w:sz="8" w:space="0" w:color="auto"/>
              <w:bottom w:val="single" w:sz="8" w:space="0" w:color="auto"/>
              <w:right w:val="single" w:sz="8" w:space="0" w:color="auto"/>
            </w:tcBorders>
            <w:vAlign w:val="center"/>
          </w:tcPr>
          <w:p w14:paraId="3E0F68C3" w14:textId="77777777" w:rsidR="00BE6ABF" w:rsidRPr="0018475F" w:rsidRDefault="00BE6ABF" w:rsidP="00BE6ABF">
            <w:pPr>
              <w:pStyle w:val="TableTextCentered"/>
            </w:pPr>
            <w:r w:rsidRPr="0018475F">
              <w:rPr>
                <w:lang w:val="sk"/>
              </w:rPr>
              <w:t>38/39</w:t>
            </w:r>
          </w:p>
        </w:tc>
      </w:tr>
      <w:tr w:rsidR="00BE6ABF" w:rsidRPr="0018475F" w14:paraId="748BF56C"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6B1E69D2" w14:textId="77777777" w:rsidR="00BE6ABF" w:rsidRPr="0018475F" w:rsidRDefault="00BE6ABF" w:rsidP="00BE6ABF">
            <w:pPr>
              <w:pStyle w:val="TableTextLeft"/>
            </w:pPr>
            <w:r w:rsidRPr="0018475F">
              <w:rPr>
                <w:lang w:val="sk"/>
              </w:rPr>
              <w:t>Metastatický melanóm</w:t>
            </w:r>
          </w:p>
        </w:tc>
        <w:tc>
          <w:tcPr>
            <w:tcW w:w="2671" w:type="dxa"/>
            <w:tcBorders>
              <w:top w:val="single" w:sz="8" w:space="0" w:color="auto"/>
              <w:left w:val="single" w:sz="8" w:space="0" w:color="auto"/>
              <w:bottom w:val="single" w:sz="8" w:space="0" w:color="auto"/>
              <w:right w:val="single" w:sz="8" w:space="0" w:color="auto"/>
            </w:tcBorders>
            <w:vAlign w:val="center"/>
          </w:tcPr>
          <w:p w14:paraId="08CE7C87" w14:textId="77777777" w:rsidR="00BE6ABF" w:rsidRPr="0018475F" w:rsidRDefault="00BE6ABF" w:rsidP="00BE6ABF">
            <w:pPr>
              <w:pStyle w:val="TableTextCentered"/>
            </w:pPr>
            <w:r w:rsidRPr="0018475F">
              <w:rPr>
                <w:lang w:val="sk"/>
              </w:rPr>
              <w:t>38/39</w:t>
            </w:r>
          </w:p>
        </w:tc>
      </w:tr>
      <w:tr w:rsidR="00BE6ABF" w:rsidRPr="0018475F" w14:paraId="50007A26"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38531AC9" w14:textId="77777777" w:rsidR="00BE6ABF" w:rsidRPr="0018475F" w:rsidRDefault="00BE6ABF" w:rsidP="00BE6ABF">
            <w:pPr>
              <w:pStyle w:val="TableTextLeft"/>
            </w:pPr>
            <w:r w:rsidRPr="0018475F">
              <w:rPr>
                <w:lang w:val="sk"/>
              </w:rPr>
              <w:t>Névus (koža)</w:t>
            </w:r>
          </w:p>
        </w:tc>
        <w:tc>
          <w:tcPr>
            <w:tcW w:w="2671" w:type="dxa"/>
            <w:tcBorders>
              <w:top w:val="single" w:sz="8" w:space="0" w:color="auto"/>
              <w:left w:val="single" w:sz="8" w:space="0" w:color="auto"/>
              <w:bottom w:val="single" w:sz="8" w:space="0" w:color="auto"/>
              <w:right w:val="single" w:sz="8" w:space="0" w:color="auto"/>
            </w:tcBorders>
            <w:vAlign w:val="center"/>
          </w:tcPr>
          <w:p w14:paraId="67374FE2" w14:textId="77777777" w:rsidR="00BE6ABF" w:rsidRPr="0018475F" w:rsidRDefault="00BE6ABF" w:rsidP="00BE6ABF">
            <w:pPr>
              <w:pStyle w:val="TableTextCentered"/>
            </w:pPr>
            <w:r w:rsidRPr="0018475F">
              <w:rPr>
                <w:lang w:val="sk"/>
              </w:rPr>
              <w:t>7/7</w:t>
            </w:r>
          </w:p>
        </w:tc>
      </w:tr>
      <w:tr w:rsidR="00BE6ABF" w:rsidRPr="0018475F" w14:paraId="47E23378"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3D5AF6F8" w14:textId="77777777" w:rsidR="00BE6ABF" w:rsidRPr="0018475F" w:rsidRDefault="00BE6ABF" w:rsidP="00BE6ABF">
            <w:pPr>
              <w:pStyle w:val="TableTextLeft"/>
            </w:pPr>
            <w:r w:rsidRPr="0018475F">
              <w:rPr>
                <w:lang w:val="sk"/>
              </w:rPr>
              <w:t>Neurofibróm (koža)</w:t>
            </w:r>
          </w:p>
        </w:tc>
        <w:tc>
          <w:tcPr>
            <w:tcW w:w="2671" w:type="dxa"/>
            <w:tcBorders>
              <w:top w:val="single" w:sz="8" w:space="0" w:color="auto"/>
              <w:left w:val="single" w:sz="8" w:space="0" w:color="auto"/>
              <w:bottom w:val="single" w:sz="8" w:space="0" w:color="auto"/>
              <w:right w:val="single" w:sz="8" w:space="0" w:color="auto"/>
            </w:tcBorders>
            <w:vAlign w:val="center"/>
          </w:tcPr>
          <w:p w14:paraId="65C168E6" w14:textId="77777777" w:rsidR="00BE6ABF" w:rsidRPr="0018475F" w:rsidRDefault="00BE6ABF" w:rsidP="00BE6ABF">
            <w:pPr>
              <w:pStyle w:val="TableTextCentered"/>
            </w:pPr>
            <w:r w:rsidRPr="0018475F">
              <w:rPr>
                <w:lang w:val="sk"/>
              </w:rPr>
              <w:t>6/6</w:t>
            </w:r>
          </w:p>
        </w:tc>
      </w:tr>
      <w:tr w:rsidR="00BE6ABF" w:rsidRPr="0018475F" w14:paraId="076AA924"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4BDD5C5C" w14:textId="77777777" w:rsidR="00BE6ABF" w:rsidRPr="0018475F" w:rsidRDefault="00BE6ABF" w:rsidP="00BE6ABF">
            <w:pPr>
              <w:pStyle w:val="TableTextLeft"/>
            </w:pPr>
            <w:r w:rsidRPr="0018475F">
              <w:rPr>
                <w:lang w:val="sk"/>
              </w:rPr>
              <w:t xml:space="preserve">Lymfóm B-buniek; NOS </w:t>
            </w:r>
          </w:p>
        </w:tc>
        <w:tc>
          <w:tcPr>
            <w:tcW w:w="2671" w:type="dxa"/>
            <w:tcBorders>
              <w:top w:val="single" w:sz="8" w:space="0" w:color="auto"/>
              <w:left w:val="single" w:sz="8" w:space="0" w:color="auto"/>
              <w:bottom w:val="single" w:sz="8" w:space="0" w:color="auto"/>
              <w:right w:val="single" w:sz="8" w:space="0" w:color="auto"/>
            </w:tcBorders>
            <w:vAlign w:val="center"/>
          </w:tcPr>
          <w:p w14:paraId="062D0021" w14:textId="77777777" w:rsidR="00BE6ABF" w:rsidRPr="0018475F" w:rsidRDefault="00BE6ABF" w:rsidP="00BE6ABF">
            <w:pPr>
              <w:pStyle w:val="TableTextCentered"/>
            </w:pPr>
            <w:r w:rsidRPr="0018475F">
              <w:rPr>
                <w:lang w:val="sk"/>
              </w:rPr>
              <w:t>0/2</w:t>
            </w:r>
          </w:p>
        </w:tc>
      </w:tr>
      <w:tr w:rsidR="00BE6ABF" w:rsidRPr="0018475F" w14:paraId="6337C8DC"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21E77191" w14:textId="77777777" w:rsidR="00BE6ABF" w:rsidRPr="0018475F" w:rsidRDefault="00BE6ABF" w:rsidP="00BE6ABF">
            <w:pPr>
              <w:pStyle w:val="TableTextLeft"/>
            </w:pPr>
            <w:r w:rsidRPr="0018475F">
              <w:rPr>
                <w:lang w:val="sk"/>
              </w:rPr>
              <w:t>Hodgkinov lymfóm (lymfatická uzlina)</w:t>
            </w:r>
          </w:p>
        </w:tc>
        <w:tc>
          <w:tcPr>
            <w:tcW w:w="2671" w:type="dxa"/>
            <w:tcBorders>
              <w:top w:val="single" w:sz="8" w:space="0" w:color="auto"/>
              <w:left w:val="single" w:sz="8" w:space="0" w:color="auto"/>
              <w:bottom w:val="single" w:sz="8" w:space="0" w:color="auto"/>
              <w:right w:val="single" w:sz="8" w:space="0" w:color="auto"/>
            </w:tcBorders>
            <w:vAlign w:val="center"/>
          </w:tcPr>
          <w:p w14:paraId="46FC96F3" w14:textId="77777777" w:rsidR="00BE6ABF" w:rsidRPr="0018475F" w:rsidRDefault="00BE6ABF" w:rsidP="00BE6ABF">
            <w:pPr>
              <w:pStyle w:val="TableTextCentered"/>
            </w:pPr>
            <w:r w:rsidRPr="0018475F">
              <w:rPr>
                <w:lang w:val="sk"/>
              </w:rPr>
              <w:t>0/1</w:t>
            </w:r>
          </w:p>
        </w:tc>
      </w:tr>
      <w:tr w:rsidR="00BE6ABF" w:rsidRPr="0018475F" w14:paraId="6579A882"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6E217EEE" w14:textId="77777777" w:rsidR="00BE6ABF" w:rsidRPr="0018475F" w:rsidRDefault="00BE6ABF" w:rsidP="00BE6ABF">
            <w:pPr>
              <w:pStyle w:val="TableTextLeft"/>
            </w:pPr>
            <w:r w:rsidRPr="0018475F">
              <w:rPr>
                <w:lang w:val="sk"/>
              </w:rPr>
              <w:t>Anaplastický veľkobunkový lymfóm (lymfatická uzlina)</w:t>
            </w:r>
          </w:p>
        </w:tc>
        <w:tc>
          <w:tcPr>
            <w:tcW w:w="2671" w:type="dxa"/>
            <w:tcBorders>
              <w:top w:val="single" w:sz="8" w:space="0" w:color="auto"/>
              <w:left w:val="single" w:sz="8" w:space="0" w:color="auto"/>
              <w:bottom w:val="single" w:sz="8" w:space="0" w:color="auto"/>
              <w:right w:val="single" w:sz="8" w:space="0" w:color="auto"/>
            </w:tcBorders>
            <w:vAlign w:val="center"/>
          </w:tcPr>
          <w:p w14:paraId="160F5697" w14:textId="77777777" w:rsidR="00BE6ABF" w:rsidRPr="0018475F" w:rsidRDefault="00BE6ABF" w:rsidP="00BE6ABF">
            <w:pPr>
              <w:pStyle w:val="TableTextCentered"/>
            </w:pPr>
            <w:r w:rsidRPr="0018475F">
              <w:rPr>
                <w:lang w:val="sk"/>
              </w:rPr>
              <w:t>0/1</w:t>
            </w:r>
          </w:p>
        </w:tc>
      </w:tr>
      <w:tr w:rsidR="00BE6ABF" w:rsidRPr="0018475F" w14:paraId="342B3B48"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07427246" w14:textId="77777777" w:rsidR="00BE6ABF" w:rsidRPr="0018475F" w:rsidRDefault="00BE6ABF" w:rsidP="00BE6ABF">
            <w:pPr>
              <w:pStyle w:val="TableTextLeft"/>
            </w:pPr>
            <w:r w:rsidRPr="0018475F">
              <w:rPr>
                <w:lang w:val="sk"/>
              </w:rPr>
              <w:t xml:space="preserve">Urotelový karcinóm (močový mechúr) </w:t>
            </w:r>
          </w:p>
        </w:tc>
        <w:tc>
          <w:tcPr>
            <w:tcW w:w="2671" w:type="dxa"/>
            <w:tcBorders>
              <w:top w:val="single" w:sz="8" w:space="0" w:color="auto"/>
              <w:left w:val="single" w:sz="8" w:space="0" w:color="auto"/>
              <w:bottom w:val="single" w:sz="8" w:space="0" w:color="auto"/>
              <w:right w:val="single" w:sz="8" w:space="0" w:color="auto"/>
            </w:tcBorders>
            <w:vAlign w:val="center"/>
          </w:tcPr>
          <w:p w14:paraId="1B26A240" w14:textId="77777777" w:rsidR="00BE6ABF" w:rsidRPr="0018475F" w:rsidRDefault="00BE6ABF" w:rsidP="00BE6ABF">
            <w:pPr>
              <w:pStyle w:val="TableTextCentered"/>
            </w:pPr>
            <w:r w:rsidRPr="0018475F">
              <w:rPr>
                <w:lang w:val="sk"/>
              </w:rPr>
              <w:t>0/2</w:t>
            </w:r>
          </w:p>
        </w:tc>
      </w:tr>
      <w:tr w:rsidR="00BE6ABF" w:rsidRPr="0018475F" w14:paraId="6DBE906A"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798DFE50" w14:textId="77777777" w:rsidR="00BE6ABF" w:rsidRPr="0018475F" w:rsidRDefault="00BE6ABF" w:rsidP="00BE6ABF">
            <w:pPr>
              <w:pStyle w:val="TableTextLeft"/>
            </w:pPr>
            <w:r w:rsidRPr="0018475F">
              <w:rPr>
                <w:lang w:val="sk"/>
              </w:rPr>
              <w:t>Osteosarkóm</w:t>
            </w:r>
          </w:p>
        </w:tc>
        <w:tc>
          <w:tcPr>
            <w:tcW w:w="2671" w:type="dxa"/>
            <w:tcBorders>
              <w:top w:val="single" w:sz="8" w:space="0" w:color="auto"/>
              <w:left w:val="single" w:sz="8" w:space="0" w:color="auto"/>
              <w:bottom w:val="single" w:sz="8" w:space="0" w:color="auto"/>
              <w:right w:val="single" w:sz="8" w:space="0" w:color="auto"/>
            </w:tcBorders>
            <w:vAlign w:val="center"/>
          </w:tcPr>
          <w:p w14:paraId="57623600" w14:textId="77777777" w:rsidR="00BE6ABF" w:rsidRPr="0018475F" w:rsidRDefault="00BE6ABF" w:rsidP="00BE6ABF">
            <w:pPr>
              <w:pStyle w:val="TableTextCentered"/>
            </w:pPr>
            <w:r w:rsidRPr="0018475F">
              <w:rPr>
                <w:lang w:val="sk"/>
              </w:rPr>
              <w:t>0/6</w:t>
            </w:r>
          </w:p>
        </w:tc>
      </w:tr>
      <w:tr w:rsidR="00BE6ABF" w:rsidRPr="0018475F" w14:paraId="5C870D0C" w14:textId="77777777" w:rsidTr="0018475F">
        <w:tc>
          <w:tcPr>
            <w:tcW w:w="2542" w:type="dxa"/>
            <w:tcBorders>
              <w:top w:val="single" w:sz="8" w:space="0" w:color="auto"/>
              <w:left w:val="single" w:sz="8" w:space="0" w:color="auto"/>
              <w:bottom w:val="single" w:sz="8" w:space="0" w:color="auto"/>
              <w:right w:val="single" w:sz="8" w:space="0" w:color="auto"/>
            </w:tcBorders>
            <w:vAlign w:val="bottom"/>
          </w:tcPr>
          <w:p w14:paraId="42B71A5C" w14:textId="77777777" w:rsidR="00BE6ABF" w:rsidRPr="0018475F" w:rsidRDefault="00BE6ABF" w:rsidP="00BE6ABF">
            <w:pPr>
              <w:pStyle w:val="TableTextLeft"/>
            </w:pPr>
            <w:r w:rsidRPr="0018475F">
              <w:rPr>
                <w:lang w:val="sk"/>
              </w:rPr>
              <w:t>Chondrosarkóm</w:t>
            </w:r>
          </w:p>
        </w:tc>
        <w:tc>
          <w:tcPr>
            <w:tcW w:w="2671" w:type="dxa"/>
            <w:tcBorders>
              <w:top w:val="single" w:sz="8" w:space="0" w:color="auto"/>
              <w:left w:val="single" w:sz="8" w:space="0" w:color="auto"/>
              <w:bottom w:val="single" w:sz="8" w:space="0" w:color="auto"/>
              <w:right w:val="single" w:sz="8" w:space="0" w:color="auto"/>
            </w:tcBorders>
            <w:vAlign w:val="center"/>
          </w:tcPr>
          <w:p w14:paraId="057B0BF9" w14:textId="77777777" w:rsidR="00BE6ABF" w:rsidRPr="0018475F" w:rsidRDefault="00BE6ABF" w:rsidP="00BE6ABF">
            <w:pPr>
              <w:pStyle w:val="TableTextCentered"/>
            </w:pPr>
            <w:r w:rsidRPr="0018475F">
              <w:rPr>
                <w:lang w:val="sk"/>
              </w:rPr>
              <w:t>3/4</w:t>
            </w:r>
          </w:p>
        </w:tc>
      </w:tr>
      <w:tr w:rsidR="00BE6ABF" w:rsidRPr="0018475F" w14:paraId="7B564DA3"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440C6B0A" w14:textId="77777777" w:rsidR="00BE6ABF" w:rsidRPr="0018475F" w:rsidRDefault="00BE6ABF" w:rsidP="00BE6ABF">
            <w:pPr>
              <w:pStyle w:val="TableTextLeft"/>
            </w:pPr>
            <w:r w:rsidRPr="0018475F">
              <w:rPr>
                <w:lang w:val="sk"/>
              </w:rPr>
              <w:t>Veľkobunkový nádor (kosť)</w:t>
            </w:r>
          </w:p>
        </w:tc>
        <w:tc>
          <w:tcPr>
            <w:tcW w:w="2671" w:type="dxa"/>
            <w:tcBorders>
              <w:top w:val="single" w:sz="8" w:space="0" w:color="auto"/>
              <w:left w:val="single" w:sz="8" w:space="0" w:color="auto"/>
              <w:bottom w:val="single" w:sz="8" w:space="0" w:color="auto"/>
              <w:right w:val="single" w:sz="8" w:space="0" w:color="auto"/>
            </w:tcBorders>
            <w:vAlign w:val="center"/>
          </w:tcPr>
          <w:p w14:paraId="2B7324C4" w14:textId="77777777" w:rsidR="00BE6ABF" w:rsidRPr="0018475F" w:rsidRDefault="00BE6ABF" w:rsidP="00BE6ABF">
            <w:pPr>
              <w:pStyle w:val="TableTextCentered"/>
            </w:pPr>
            <w:r w:rsidRPr="0018475F">
              <w:rPr>
                <w:lang w:val="sk"/>
              </w:rPr>
              <w:t>1/9</w:t>
            </w:r>
          </w:p>
        </w:tc>
      </w:tr>
      <w:tr w:rsidR="00BE6ABF" w:rsidRPr="0018475F" w14:paraId="4986962E"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38ED6FA2" w14:textId="77777777" w:rsidR="00BE6ABF" w:rsidRPr="0018475F" w:rsidRDefault="00BE6ABF" w:rsidP="00BE6ABF">
            <w:pPr>
              <w:pStyle w:val="TableTextLeft"/>
            </w:pPr>
            <w:r w:rsidRPr="0018475F">
              <w:rPr>
                <w:lang w:val="sk"/>
              </w:rPr>
              <w:t>Ameloblastóm (hlava a krk)</w:t>
            </w:r>
          </w:p>
        </w:tc>
        <w:tc>
          <w:tcPr>
            <w:tcW w:w="2671" w:type="dxa"/>
            <w:tcBorders>
              <w:top w:val="single" w:sz="8" w:space="0" w:color="auto"/>
              <w:left w:val="single" w:sz="8" w:space="0" w:color="auto"/>
              <w:bottom w:val="single" w:sz="8" w:space="0" w:color="auto"/>
              <w:right w:val="single" w:sz="8" w:space="0" w:color="auto"/>
            </w:tcBorders>
            <w:vAlign w:val="center"/>
          </w:tcPr>
          <w:p w14:paraId="07E078CA" w14:textId="77777777" w:rsidR="00BE6ABF" w:rsidRPr="0018475F" w:rsidRDefault="00BE6ABF" w:rsidP="00BE6ABF">
            <w:pPr>
              <w:pStyle w:val="TableTextCentered"/>
            </w:pPr>
            <w:r w:rsidRPr="0018475F">
              <w:rPr>
                <w:lang w:val="sk"/>
              </w:rPr>
              <w:t>0/2</w:t>
            </w:r>
          </w:p>
        </w:tc>
      </w:tr>
      <w:tr w:rsidR="00BE6ABF" w:rsidRPr="0018475F" w14:paraId="06782E4C"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4B3C3069" w14:textId="77777777" w:rsidR="00BE6ABF" w:rsidRPr="0018475F" w:rsidRDefault="00BE6ABF" w:rsidP="00BE6ABF">
            <w:pPr>
              <w:pStyle w:val="TableTextLeft"/>
            </w:pPr>
            <w:r w:rsidRPr="0018475F">
              <w:rPr>
                <w:lang w:val="sk"/>
              </w:rPr>
              <w:t>Metastatický karcinóm (kosť)</w:t>
            </w:r>
          </w:p>
        </w:tc>
        <w:tc>
          <w:tcPr>
            <w:tcW w:w="2671" w:type="dxa"/>
            <w:tcBorders>
              <w:top w:val="single" w:sz="8" w:space="0" w:color="auto"/>
              <w:left w:val="single" w:sz="8" w:space="0" w:color="auto"/>
              <w:bottom w:val="single" w:sz="8" w:space="0" w:color="auto"/>
              <w:right w:val="single" w:sz="8" w:space="0" w:color="auto"/>
            </w:tcBorders>
            <w:vAlign w:val="center"/>
          </w:tcPr>
          <w:p w14:paraId="5F1A13D8" w14:textId="77777777" w:rsidR="00BE6ABF" w:rsidRPr="0018475F" w:rsidRDefault="00BE6ABF" w:rsidP="00BE6ABF">
            <w:pPr>
              <w:pStyle w:val="TableTextCentered"/>
            </w:pPr>
            <w:r w:rsidRPr="0018475F">
              <w:rPr>
                <w:lang w:val="sk"/>
              </w:rPr>
              <w:t>0/4</w:t>
            </w:r>
          </w:p>
        </w:tc>
      </w:tr>
      <w:tr w:rsidR="00BE6ABF" w:rsidRPr="0018475F" w14:paraId="64B738B2"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4B94D181" w14:textId="77777777" w:rsidR="00BE6ABF" w:rsidRPr="0018475F" w:rsidRDefault="00BE6ABF" w:rsidP="00BE6ABF">
            <w:pPr>
              <w:pStyle w:val="TableTextLeft"/>
            </w:pPr>
            <w:r w:rsidRPr="0018475F">
              <w:rPr>
                <w:lang w:val="sk"/>
              </w:rPr>
              <w:t>Lipóm (trup)</w:t>
            </w:r>
          </w:p>
        </w:tc>
        <w:tc>
          <w:tcPr>
            <w:tcW w:w="2671" w:type="dxa"/>
            <w:tcBorders>
              <w:top w:val="single" w:sz="8" w:space="0" w:color="auto"/>
              <w:left w:val="single" w:sz="8" w:space="0" w:color="auto"/>
              <w:bottom w:val="single" w:sz="8" w:space="0" w:color="auto"/>
              <w:right w:val="single" w:sz="8" w:space="0" w:color="auto"/>
            </w:tcBorders>
            <w:vAlign w:val="center"/>
          </w:tcPr>
          <w:p w14:paraId="27362F09" w14:textId="77777777" w:rsidR="00BE6ABF" w:rsidRPr="0018475F" w:rsidRDefault="00BE6ABF" w:rsidP="00BE6ABF">
            <w:pPr>
              <w:pStyle w:val="TableTextCentered"/>
            </w:pPr>
            <w:r w:rsidRPr="0018475F">
              <w:rPr>
                <w:lang w:val="sk"/>
              </w:rPr>
              <w:t>1/1</w:t>
            </w:r>
          </w:p>
        </w:tc>
      </w:tr>
      <w:tr w:rsidR="00BE6ABF" w:rsidRPr="0018475F" w14:paraId="473F65DA"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6406E8FE" w14:textId="77777777" w:rsidR="00BE6ABF" w:rsidRPr="0018475F" w:rsidRDefault="00BE6ABF" w:rsidP="00BE6ABF">
            <w:pPr>
              <w:pStyle w:val="TableTextLeft"/>
            </w:pPr>
            <w:r w:rsidRPr="0018475F">
              <w:rPr>
                <w:lang w:val="sk"/>
              </w:rPr>
              <w:t>Liposarkóm</w:t>
            </w:r>
          </w:p>
        </w:tc>
        <w:tc>
          <w:tcPr>
            <w:tcW w:w="2671" w:type="dxa"/>
            <w:tcBorders>
              <w:top w:val="single" w:sz="8" w:space="0" w:color="auto"/>
              <w:left w:val="single" w:sz="8" w:space="0" w:color="auto"/>
              <w:bottom w:val="single" w:sz="8" w:space="0" w:color="auto"/>
              <w:right w:val="single" w:sz="8" w:space="0" w:color="auto"/>
            </w:tcBorders>
            <w:vAlign w:val="center"/>
          </w:tcPr>
          <w:p w14:paraId="78253A6D" w14:textId="77777777" w:rsidR="00BE6ABF" w:rsidRPr="0018475F" w:rsidRDefault="00BE6ABF" w:rsidP="00BE6ABF">
            <w:pPr>
              <w:pStyle w:val="TableTextCentered"/>
            </w:pPr>
            <w:r w:rsidRPr="0018475F">
              <w:rPr>
                <w:lang w:val="sk"/>
              </w:rPr>
              <w:t>13/16</w:t>
            </w:r>
          </w:p>
        </w:tc>
      </w:tr>
      <w:tr w:rsidR="00BE6ABF" w:rsidRPr="0018475F" w14:paraId="05FFAF3A"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66333894" w14:textId="77777777" w:rsidR="00BE6ABF" w:rsidRPr="0018475F" w:rsidRDefault="00BE6ABF" w:rsidP="00BE6ABF">
            <w:pPr>
              <w:pStyle w:val="TableTextLeft"/>
            </w:pPr>
            <w:r w:rsidRPr="0018475F">
              <w:rPr>
                <w:lang w:val="sk"/>
              </w:rPr>
              <w:t>Fibróm</w:t>
            </w:r>
          </w:p>
        </w:tc>
        <w:tc>
          <w:tcPr>
            <w:tcW w:w="2671" w:type="dxa"/>
            <w:tcBorders>
              <w:top w:val="single" w:sz="8" w:space="0" w:color="auto"/>
              <w:left w:val="single" w:sz="8" w:space="0" w:color="auto"/>
              <w:bottom w:val="single" w:sz="8" w:space="0" w:color="auto"/>
              <w:right w:val="single" w:sz="8" w:space="0" w:color="auto"/>
            </w:tcBorders>
            <w:vAlign w:val="center"/>
          </w:tcPr>
          <w:p w14:paraId="560E848B" w14:textId="77777777" w:rsidR="00BE6ABF" w:rsidRPr="0018475F" w:rsidRDefault="00BE6ABF" w:rsidP="00BE6ABF">
            <w:pPr>
              <w:pStyle w:val="TableTextCentered"/>
            </w:pPr>
            <w:r w:rsidRPr="0018475F">
              <w:rPr>
                <w:lang w:val="sk"/>
              </w:rPr>
              <w:t>0/2</w:t>
            </w:r>
          </w:p>
        </w:tc>
      </w:tr>
      <w:tr w:rsidR="00BE6ABF" w:rsidRPr="0018475F" w14:paraId="37267A28"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3CF1F8AC" w14:textId="77777777" w:rsidR="00BE6ABF" w:rsidRPr="0018475F" w:rsidRDefault="00BE6ABF" w:rsidP="00BE6ABF">
            <w:pPr>
              <w:pStyle w:val="TableTextLeft"/>
            </w:pPr>
            <w:r w:rsidRPr="0018475F">
              <w:rPr>
                <w:lang w:val="sk"/>
              </w:rPr>
              <w:t>Fibrosarkóm</w:t>
            </w:r>
          </w:p>
        </w:tc>
        <w:tc>
          <w:tcPr>
            <w:tcW w:w="2671" w:type="dxa"/>
            <w:tcBorders>
              <w:top w:val="single" w:sz="8" w:space="0" w:color="auto"/>
              <w:left w:val="single" w:sz="8" w:space="0" w:color="auto"/>
              <w:bottom w:val="single" w:sz="8" w:space="0" w:color="auto"/>
              <w:right w:val="single" w:sz="8" w:space="0" w:color="auto"/>
            </w:tcBorders>
            <w:vAlign w:val="center"/>
          </w:tcPr>
          <w:p w14:paraId="29DDA598" w14:textId="77777777" w:rsidR="00BE6ABF" w:rsidRPr="0018475F" w:rsidRDefault="00BE6ABF" w:rsidP="00BE6ABF">
            <w:pPr>
              <w:pStyle w:val="TableTextCentered"/>
            </w:pPr>
            <w:r w:rsidRPr="0018475F">
              <w:rPr>
                <w:lang w:val="sk"/>
              </w:rPr>
              <w:t>1/20</w:t>
            </w:r>
          </w:p>
        </w:tc>
      </w:tr>
      <w:tr w:rsidR="00BE6ABF" w:rsidRPr="0018475F" w14:paraId="064EDD37"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5A292460" w14:textId="77777777" w:rsidR="00BE6ABF" w:rsidRPr="0018475F" w:rsidRDefault="00BE6ABF" w:rsidP="00BE6ABF">
            <w:pPr>
              <w:pStyle w:val="TableTextLeft"/>
            </w:pPr>
            <w:r w:rsidRPr="0018475F">
              <w:rPr>
                <w:lang w:val="sk"/>
              </w:rPr>
              <w:t>Dermatofibrosarkóm protuberans</w:t>
            </w:r>
          </w:p>
        </w:tc>
        <w:tc>
          <w:tcPr>
            <w:tcW w:w="2671" w:type="dxa"/>
            <w:tcBorders>
              <w:top w:val="single" w:sz="8" w:space="0" w:color="auto"/>
              <w:left w:val="single" w:sz="8" w:space="0" w:color="auto"/>
              <w:bottom w:val="single" w:sz="8" w:space="0" w:color="auto"/>
              <w:right w:val="single" w:sz="8" w:space="0" w:color="auto"/>
            </w:tcBorders>
            <w:vAlign w:val="center"/>
          </w:tcPr>
          <w:p w14:paraId="77655A87" w14:textId="77777777" w:rsidR="00BE6ABF" w:rsidRPr="0018475F" w:rsidRDefault="00BE6ABF" w:rsidP="00BE6ABF">
            <w:pPr>
              <w:pStyle w:val="TableTextCentered"/>
            </w:pPr>
            <w:r w:rsidRPr="0018475F">
              <w:rPr>
                <w:lang w:val="sk"/>
              </w:rPr>
              <w:t>0/3</w:t>
            </w:r>
          </w:p>
        </w:tc>
      </w:tr>
      <w:tr w:rsidR="00BE6ABF" w:rsidRPr="0018475F" w14:paraId="4A797454"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1A893750" w14:textId="77777777" w:rsidR="00BE6ABF" w:rsidRPr="0018475F" w:rsidRDefault="00BE6ABF" w:rsidP="00BE6ABF">
            <w:pPr>
              <w:pStyle w:val="TableTextLeft"/>
            </w:pPr>
            <w:r w:rsidRPr="0018475F">
              <w:rPr>
                <w:lang w:val="sk"/>
              </w:rPr>
              <w:t>Nediferencovaný/neklasifikovaný sarkóm</w:t>
            </w:r>
          </w:p>
        </w:tc>
        <w:tc>
          <w:tcPr>
            <w:tcW w:w="2671" w:type="dxa"/>
            <w:tcBorders>
              <w:top w:val="single" w:sz="8" w:space="0" w:color="auto"/>
              <w:left w:val="single" w:sz="8" w:space="0" w:color="auto"/>
              <w:bottom w:val="single" w:sz="8" w:space="0" w:color="auto"/>
              <w:right w:val="single" w:sz="8" w:space="0" w:color="auto"/>
            </w:tcBorders>
            <w:vAlign w:val="center"/>
          </w:tcPr>
          <w:p w14:paraId="1D1BB19C" w14:textId="77777777" w:rsidR="00BE6ABF" w:rsidRPr="0018475F" w:rsidRDefault="00BE6ABF" w:rsidP="00BE6ABF">
            <w:pPr>
              <w:pStyle w:val="TableTextCentered"/>
            </w:pPr>
            <w:r w:rsidRPr="0018475F">
              <w:rPr>
                <w:lang w:val="sk"/>
              </w:rPr>
              <w:t>0/4</w:t>
            </w:r>
          </w:p>
        </w:tc>
      </w:tr>
      <w:tr w:rsidR="00BE6ABF" w:rsidRPr="0018475F" w14:paraId="45140540"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30709F5F" w14:textId="77777777" w:rsidR="00BE6ABF" w:rsidRPr="0018475F" w:rsidRDefault="00BE6ABF" w:rsidP="00BE6ABF">
            <w:pPr>
              <w:pStyle w:val="TableTextLeft"/>
            </w:pPr>
            <w:r w:rsidRPr="0018475F">
              <w:rPr>
                <w:lang w:val="sk"/>
              </w:rPr>
              <w:t>Rabdomyosarkóm (pobrušnicová dutina)</w:t>
            </w:r>
          </w:p>
        </w:tc>
        <w:tc>
          <w:tcPr>
            <w:tcW w:w="2671" w:type="dxa"/>
            <w:tcBorders>
              <w:top w:val="single" w:sz="8" w:space="0" w:color="auto"/>
              <w:left w:val="single" w:sz="8" w:space="0" w:color="auto"/>
              <w:bottom w:val="single" w:sz="8" w:space="0" w:color="auto"/>
              <w:right w:val="single" w:sz="8" w:space="0" w:color="auto"/>
            </w:tcBorders>
            <w:vAlign w:val="center"/>
          </w:tcPr>
          <w:p w14:paraId="6B9EC5B8" w14:textId="77777777" w:rsidR="00BE6ABF" w:rsidRPr="0018475F" w:rsidRDefault="00BE6ABF" w:rsidP="00BE6ABF">
            <w:pPr>
              <w:pStyle w:val="TableTextCentered"/>
            </w:pPr>
            <w:r w:rsidRPr="0018475F">
              <w:rPr>
                <w:lang w:val="sk"/>
              </w:rPr>
              <w:t>1/1</w:t>
            </w:r>
          </w:p>
        </w:tc>
      </w:tr>
      <w:tr w:rsidR="00BE6ABF" w:rsidRPr="0018475F" w14:paraId="661A8C7F"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2C1A4730" w14:textId="77777777" w:rsidR="00BE6ABF" w:rsidRPr="0018475F" w:rsidRDefault="00BE6ABF" w:rsidP="00BE6ABF">
            <w:pPr>
              <w:pStyle w:val="TableTextLeft"/>
            </w:pPr>
            <w:r w:rsidRPr="0018475F">
              <w:rPr>
                <w:lang w:val="sk"/>
              </w:rPr>
              <w:t>Rabdomyosarkóm, embryonálny</w:t>
            </w:r>
          </w:p>
        </w:tc>
        <w:tc>
          <w:tcPr>
            <w:tcW w:w="2671" w:type="dxa"/>
            <w:tcBorders>
              <w:top w:val="single" w:sz="8" w:space="0" w:color="auto"/>
              <w:left w:val="single" w:sz="8" w:space="0" w:color="auto"/>
              <w:bottom w:val="single" w:sz="8" w:space="0" w:color="auto"/>
              <w:right w:val="single" w:sz="8" w:space="0" w:color="auto"/>
            </w:tcBorders>
            <w:vAlign w:val="center"/>
          </w:tcPr>
          <w:p w14:paraId="0729B53D" w14:textId="77777777" w:rsidR="00BE6ABF" w:rsidRPr="0018475F" w:rsidRDefault="00BE6ABF" w:rsidP="00BE6ABF">
            <w:pPr>
              <w:pStyle w:val="TableTextCentered"/>
            </w:pPr>
            <w:r w:rsidRPr="0018475F">
              <w:rPr>
                <w:lang w:val="sk"/>
              </w:rPr>
              <w:t>1/3</w:t>
            </w:r>
          </w:p>
        </w:tc>
      </w:tr>
      <w:tr w:rsidR="00BE6ABF" w:rsidRPr="0018475F" w14:paraId="77FFCDEF"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238CCBD7" w14:textId="77777777" w:rsidR="00BE6ABF" w:rsidRPr="0018475F" w:rsidRDefault="00BE6ABF" w:rsidP="00BE6ABF">
            <w:pPr>
              <w:pStyle w:val="TableTextLeft"/>
            </w:pPr>
            <w:r w:rsidRPr="0018475F">
              <w:rPr>
                <w:lang w:val="sk"/>
              </w:rPr>
              <w:t>Rabdomyosarkóm, polymorfný</w:t>
            </w:r>
          </w:p>
        </w:tc>
        <w:tc>
          <w:tcPr>
            <w:tcW w:w="2671" w:type="dxa"/>
            <w:tcBorders>
              <w:top w:val="single" w:sz="8" w:space="0" w:color="auto"/>
              <w:left w:val="single" w:sz="8" w:space="0" w:color="auto"/>
              <w:bottom w:val="single" w:sz="8" w:space="0" w:color="auto"/>
              <w:right w:val="single" w:sz="8" w:space="0" w:color="auto"/>
            </w:tcBorders>
            <w:vAlign w:val="center"/>
          </w:tcPr>
          <w:p w14:paraId="6B74B991" w14:textId="77777777" w:rsidR="00BE6ABF" w:rsidRPr="0018475F" w:rsidRDefault="00BE6ABF" w:rsidP="00BE6ABF">
            <w:pPr>
              <w:pStyle w:val="TableTextCentered"/>
            </w:pPr>
            <w:r w:rsidRPr="0018475F">
              <w:rPr>
                <w:lang w:val="sk"/>
              </w:rPr>
              <w:t>2/3</w:t>
            </w:r>
          </w:p>
        </w:tc>
      </w:tr>
      <w:tr w:rsidR="00BE6ABF" w:rsidRPr="0018475F" w14:paraId="6A8D7ACB"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2B8C3725" w14:textId="77777777" w:rsidR="00BE6ABF" w:rsidRPr="0018475F" w:rsidRDefault="00BE6ABF" w:rsidP="00BE6ABF">
            <w:pPr>
              <w:pStyle w:val="TableTextLeft"/>
            </w:pPr>
            <w:r w:rsidRPr="0018475F">
              <w:rPr>
                <w:lang w:val="sk"/>
              </w:rPr>
              <w:t>Rabdomyosarkóm, alveolárny</w:t>
            </w:r>
          </w:p>
        </w:tc>
        <w:tc>
          <w:tcPr>
            <w:tcW w:w="2671" w:type="dxa"/>
            <w:tcBorders>
              <w:top w:val="single" w:sz="8" w:space="0" w:color="auto"/>
              <w:left w:val="single" w:sz="8" w:space="0" w:color="auto"/>
              <w:bottom w:val="single" w:sz="8" w:space="0" w:color="auto"/>
              <w:right w:val="single" w:sz="8" w:space="0" w:color="auto"/>
            </w:tcBorders>
            <w:vAlign w:val="center"/>
          </w:tcPr>
          <w:p w14:paraId="3D2C60E1" w14:textId="77777777" w:rsidR="00BE6ABF" w:rsidRPr="0018475F" w:rsidRDefault="00BE6ABF" w:rsidP="00BE6ABF">
            <w:pPr>
              <w:pStyle w:val="TableTextCentered"/>
            </w:pPr>
            <w:r w:rsidRPr="0018475F">
              <w:rPr>
                <w:lang w:val="sk"/>
              </w:rPr>
              <w:t>1/3</w:t>
            </w:r>
          </w:p>
        </w:tc>
      </w:tr>
      <w:tr w:rsidR="00BE6ABF" w:rsidRPr="0018475F" w14:paraId="0E529C6F"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50AC9C88" w14:textId="77777777" w:rsidR="00BE6ABF" w:rsidRPr="0018475F" w:rsidRDefault="00BE6ABF" w:rsidP="00BE6ABF">
            <w:pPr>
              <w:pStyle w:val="TableTextLeft"/>
            </w:pPr>
            <w:r w:rsidRPr="0018475F">
              <w:rPr>
                <w:lang w:val="sk"/>
              </w:rPr>
              <w:t>Leiomyosarkóm</w:t>
            </w:r>
          </w:p>
        </w:tc>
        <w:tc>
          <w:tcPr>
            <w:tcW w:w="2671" w:type="dxa"/>
            <w:tcBorders>
              <w:top w:val="single" w:sz="8" w:space="0" w:color="auto"/>
              <w:left w:val="single" w:sz="8" w:space="0" w:color="auto"/>
              <w:bottom w:val="single" w:sz="8" w:space="0" w:color="auto"/>
              <w:right w:val="single" w:sz="8" w:space="0" w:color="auto"/>
            </w:tcBorders>
            <w:vAlign w:val="center"/>
          </w:tcPr>
          <w:p w14:paraId="08FDDEA2" w14:textId="77777777" w:rsidR="00BE6ABF" w:rsidRPr="0018475F" w:rsidRDefault="00BE6ABF" w:rsidP="00BE6ABF">
            <w:pPr>
              <w:pStyle w:val="TableTextCentered"/>
            </w:pPr>
            <w:r w:rsidRPr="0018475F">
              <w:rPr>
                <w:lang w:val="sk"/>
              </w:rPr>
              <w:t>0/8</w:t>
            </w:r>
          </w:p>
        </w:tc>
      </w:tr>
      <w:tr w:rsidR="00BE6ABF" w:rsidRPr="0018475F" w14:paraId="14C7B2B3"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12480EEA" w14:textId="77777777" w:rsidR="00BE6ABF" w:rsidRPr="0018475F" w:rsidRDefault="00BE6ABF" w:rsidP="00BE6ABF">
            <w:pPr>
              <w:pStyle w:val="TableTextLeft"/>
            </w:pPr>
            <w:r w:rsidRPr="0018475F">
              <w:rPr>
                <w:lang w:val="sk"/>
              </w:rPr>
              <w:t>Synoviálny sarkóm</w:t>
            </w:r>
          </w:p>
        </w:tc>
        <w:tc>
          <w:tcPr>
            <w:tcW w:w="2671" w:type="dxa"/>
            <w:tcBorders>
              <w:top w:val="single" w:sz="8" w:space="0" w:color="auto"/>
              <w:left w:val="single" w:sz="8" w:space="0" w:color="auto"/>
              <w:bottom w:val="single" w:sz="8" w:space="0" w:color="auto"/>
              <w:right w:val="single" w:sz="8" w:space="0" w:color="auto"/>
            </w:tcBorders>
            <w:vAlign w:val="center"/>
          </w:tcPr>
          <w:p w14:paraId="7170F083" w14:textId="77777777" w:rsidR="00BE6ABF" w:rsidRPr="0018475F" w:rsidRDefault="00BE6ABF" w:rsidP="00BE6ABF">
            <w:pPr>
              <w:pStyle w:val="TableTextCentered"/>
            </w:pPr>
            <w:r w:rsidRPr="0018475F">
              <w:rPr>
                <w:lang w:val="sk"/>
              </w:rPr>
              <w:t>0/3</w:t>
            </w:r>
          </w:p>
        </w:tc>
      </w:tr>
      <w:tr w:rsidR="00BE6ABF" w:rsidRPr="0018475F" w14:paraId="6F95E86A"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4C1F4016" w14:textId="77777777" w:rsidR="00BE6ABF" w:rsidRPr="0018475F" w:rsidRDefault="00BE6ABF" w:rsidP="00BE6ABF">
            <w:pPr>
              <w:pStyle w:val="TableTextLeft"/>
            </w:pPr>
            <w:r w:rsidRPr="0018475F">
              <w:rPr>
                <w:lang w:val="sk"/>
              </w:rPr>
              <w:t>Epiteloidný sarkóm (ruka)</w:t>
            </w:r>
          </w:p>
        </w:tc>
        <w:tc>
          <w:tcPr>
            <w:tcW w:w="2671" w:type="dxa"/>
            <w:tcBorders>
              <w:top w:val="single" w:sz="8" w:space="0" w:color="auto"/>
              <w:left w:val="single" w:sz="8" w:space="0" w:color="auto"/>
              <w:bottom w:val="single" w:sz="8" w:space="0" w:color="auto"/>
              <w:right w:val="single" w:sz="8" w:space="0" w:color="auto"/>
            </w:tcBorders>
            <w:vAlign w:val="center"/>
          </w:tcPr>
          <w:p w14:paraId="65EA7BA2" w14:textId="77777777" w:rsidR="00BE6ABF" w:rsidRPr="0018475F" w:rsidRDefault="00BE6ABF" w:rsidP="00BE6ABF">
            <w:pPr>
              <w:pStyle w:val="TableTextCentered"/>
            </w:pPr>
            <w:r w:rsidRPr="0018475F">
              <w:rPr>
                <w:lang w:val="sk"/>
              </w:rPr>
              <w:t>0/2</w:t>
            </w:r>
          </w:p>
        </w:tc>
      </w:tr>
      <w:tr w:rsidR="00BE6ABF" w:rsidRPr="0018475F" w14:paraId="499EF4F8"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6502204B" w14:textId="77777777" w:rsidR="00BE6ABF" w:rsidRPr="0018475F" w:rsidRDefault="00BE6ABF" w:rsidP="00BE6ABF">
            <w:pPr>
              <w:pStyle w:val="TableTextLeft"/>
            </w:pPr>
            <w:r w:rsidRPr="0018475F">
              <w:rPr>
                <w:lang w:val="sk"/>
              </w:rPr>
              <w:t>Sarkóm vretenovitých buniek (pobrušnicová dutina)</w:t>
            </w:r>
          </w:p>
        </w:tc>
        <w:tc>
          <w:tcPr>
            <w:tcW w:w="2671" w:type="dxa"/>
            <w:tcBorders>
              <w:top w:val="single" w:sz="8" w:space="0" w:color="auto"/>
              <w:left w:val="single" w:sz="8" w:space="0" w:color="auto"/>
              <w:bottom w:val="single" w:sz="8" w:space="0" w:color="auto"/>
              <w:right w:val="single" w:sz="8" w:space="0" w:color="auto"/>
            </w:tcBorders>
            <w:vAlign w:val="center"/>
          </w:tcPr>
          <w:p w14:paraId="1D9DCBC5" w14:textId="77777777" w:rsidR="00BE6ABF" w:rsidRPr="0018475F" w:rsidRDefault="00BE6ABF" w:rsidP="00BE6ABF">
            <w:pPr>
              <w:pStyle w:val="TableTextCentered"/>
            </w:pPr>
            <w:r w:rsidRPr="0018475F">
              <w:rPr>
                <w:lang w:val="sk"/>
              </w:rPr>
              <w:t>0/1</w:t>
            </w:r>
          </w:p>
        </w:tc>
      </w:tr>
      <w:tr w:rsidR="00BE6ABF" w:rsidRPr="0018475F" w14:paraId="65E8D380"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7228B4F8" w14:textId="77777777" w:rsidR="00BE6ABF" w:rsidRPr="0018475F" w:rsidRDefault="00BE6ABF" w:rsidP="00BE6ABF">
            <w:pPr>
              <w:pStyle w:val="TableTextLeft"/>
            </w:pPr>
            <w:r w:rsidRPr="0018475F">
              <w:rPr>
                <w:lang w:val="sk"/>
              </w:rPr>
              <w:t>Jasnobunkový sarkóm (noha)</w:t>
            </w:r>
          </w:p>
        </w:tc>
        <w:tc>
          <w:tcPr>
            <w:tcW w:w="2671" w:type="dxa"/>
            <w:tcBorders>
              <w:top w:val="single" w:sz="8" w:space="0" w:color="auto"/>
              <w:left w:val="single" w:sz="8" w:space="0" w:color="auto"/>
              <w:bottom w:val="single" w:sz="8" w:space="0" w:color="auto"/>
              <w:right w:val="single" w:sz="8" w:space="0" w:color="auto"/>
            </w:tcBorders>
            <w:vAlign w:val="center"/>
          </w:tcPr>
          <w:p w14:paraId="1EB376FF" w14:textId="77777777" w:rsidR="00BE6ABF" w:rsidRPr="0018475F" w:rsidRDefault="00BE6ABF" w:rsidP="00BE6ABF">
            <w:pPr>
              <w:pStyle w:val="TableTextCentered"/>
            </w:pPr>
            <w:r w:rsidRPr="0018475F">
              <w:rPr>
                <w:lang w:val="sk"/>
              </w:rPr>
              <w:t>1/1</w:t>
            </w:r>
          </w:p>
        </w:tc>
      </w:tr>
      <w:tr w:rsidR="00BE6ABF" w:rsidRPr="0018475F" w14:paraId="71466AFC"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3006BE8D" w14:textId="77777777" w:rsidR="00BE6ABF" w:rsidRPr="0018475F" w:rsidRDefault="00BE6ABF" w:rsidP="00BE6ABF">
            <w:pPr>
              <w:pStyle w:val="TableTextLeft"/>
            </w:pPr>
            <w:r w:rsidRPr="0018475F">
              <w:rPr>
                <w:lang w:val="sk"/>
              </w:rPr>
              <w:lastRenderedPageBreak/>
              <w:t>Karcinosarkóm (pobrušnicová dutina)</w:t>
            </w:r>
          </w:p>
        </w:tc>
        <w:tc>
          <w:tcPr>
            <w:tcW w:w="2671" w:type="dxa"/>
            <w:tcBorders>
              <w:top w:val="single" w:sz="8" w:space="0" w:color="auto"/>
              <w:left w:val="single" w:sz="8" w:space="0" w:color="auto"/>
              <w:bottom w:val="single" w:sz="8" w:space="0" w:color="auto"/>
              <w:right w:val="single" w:sz="8" w:space="0" w:color="auto"/>
            </w:tcBorders>
            <w:vAlign w:val="center"/>
          </w:tcPr>
          <w:p w14:paraId="0DC8F407" w14:textId="77777777" w:rsidR="00BE6ABF" w:rsidRPr="0018475F" w:rsidRDefault="00BE6ABF" w:rsidP="00BE6ABF">
            <w:pPr>
              <w:pStyle w:val="TableTextCentered"/>
            </w:pPr>
            <w:r w:rsidRPr="0018475F">
              <w:rPr>
                <w:lang w:val="sk"/>
              </w:rPr>
              <w:t>0/1</w:t>
            </w:r>
          </w:p>
        </w:tc>
      </w:tr>
      <w:tr w:rsidR="00BE6ABF" w:rsidRPr="0018475F" w14:paraId="698C1A6C" w14:textId="77777777" w:rsidTr="0018475F">
        <w:tc>
          <w:tcPr>
            <w:tcW w:w="2542" w:type="dxa"/>
            <w:tcBorders>
              <w:top w:val="single" w:sz="8" w:space="0" w:color="auto"/>
              <w:left w:val="single" w:sz="8" w:space="0" w:color="auto"/>
              <w:bottom w:val="single" w:sz="8" w:space="0" w:color="auto"/>
              <w:right w:val="single" w:sz="8" w:space="0" w:color="auto"/>
            </w:tcBorders>
            <w:vAlign w:val="center"/>
          </w:tcPr>
          <w:p w14:paraId="35833976" w14:textId="77777777" w:rsidR="00BE6ABF" w:rsidRPr="0018475F" w:rsidRDefault="00BE6ABF" w:rsidP="00BE6ABF">
            <w:pPr>
              <w:pStyle w:val="TableTextLeft"/>
            </w:pPr>
            <w:r w:rsidRPr="0018475F">
              <w:rPr>
                <w:lang w:val="sk"/>
              </w:rPr>
              <w:t>Malígny nádor periférneho nervového plášťa (MPNST)</w:t>
            </w:r>
          </w:p>
        </w:tc>
        <w:tc>
          <w:tcPr>
            <w:tcW w:w="2671" w:type="dxa"/>
            <w:tcBorders>
              <w:top w:val="single" w:sz="8" w:space="0" w:color="auto"/>
              <w:left w:val="single" w:sz="8" w:space="0" w:color="auto"/>
              <w:bottom w:val="single" w:sz="8" w:space="0" w:color="auto"/>
              <w:right w:val="single" w:sz="8" w:space="0" w:color="auto"/>
            </w:tcBorders>
            <w:vAlign w:val="center"/>
          </w:tcPr>
          <w:p w14:paraId="06403DB6" w14:textId="77777777" w:rsidR="00BE6ABF" w:rsidRPr="0018475F" w:rsidRDefault="00BE6ABF" w:rsidP="00BE6ABF">
            <w:pPr>
              <w:pStyle w:val="TableTextCentered"/>
            </w:pPr>
            <w:r w:rsidRPr="0018475F">
              <w:rPr>
                <w:lang w:val="sk"/>
              </w:rPr>
              <w:t>12/20</w:t>
            </w:r>
          </w:p>
        </w:tc>
      </w:tr>
    </w:tbl>
    <w:bookmarkEnd w:id="11"/>
    <w:p w14:paraId="3EDEA0FD" w14:textId="77777777" w:rsidR="00BE6ABF" w:rsidRPr="0018475F" w:rsidRDefault="00BE6ABF" w:rsidP="00BE6ABF">
      <w:r w:rsidRPr="0018475F">
        <w:rPr>
          <w:rStyle w:val="Reference"/>
          <w:lang w:val="sk"/>
        </w:rPr>
        <w:t>a</w:t>
      </w:r>
      <w:r w:rsidRPr="0018475F">
        <w:rPr>
          <w:lang w:val="sk"/>
        </w:rPr>
        <w:t xml:space="preserve"> S100 sa exprimuje v mnohých normálnych štruktúrach, ako sú histiocyty, dendritické bunky, adipocyty, nervové a myoepiteliálne bunky.  Pri hodnotení vyššie uvedených nádorov sa pozitívny alebo negatívny stav odvodil na základe hodnotenia nádorových buniek, preto nádory považované za negatívne môžu mať farbenie v niektorých alebo vo všetkých uvedených štruktúrach.</w:t>
      </w:r>
    </w:p>
    <w:p w14:paraId="7DD2D822" w14:textId="77777777" w:rsidR="00BE6ABF" w:rsidRPr="0018475F" w:rsidRDefault="00BE6ABF" w:rsidP="00BE6ABF"/>
    <w:p w14:paraId="1CBA8278" w14:textId="77777777" w:rsidR="00BE6ABF" w:rsidRPr="0018475F" w:rsidRDefault="00BE6ABF" w:rsidP="00BE6ABF">
      <w:pPr>
        <w:pStyle w:val="Heading2"/>
      </w:pPr>
      <w:bookmarkStart w:id="12" w:name="_Ref280281324"/>
      <w:r w:rsidRPr="0018475F">
        <w:rPr>
          <w:bCs/>
          <w:lang w:val="sk"/>
        </w:rPr>
        <w:t>Presnosť</w:t>
      </w:r>
      <w:bookmarkEnd w:id="12"/>
    </w:p>
    <w:p w14:paraId="3A2C01A6" w14:textId="77777777" w:rsidR="00BE6ABF" w:rsidRPr="0018475F" w:rsidRDefault="00BE6ABF" w:rsidP="00BE6ABF">
      <w:pPr>
        <w:pStyle w:val="BodyText"/>
      </w:pPr>
      <w:r w:rsidRPr="0018475F">
        <w:rPr>
          <w:lang w:val="sk"/>
        </w:rPr>
        <w:t>Štúdie presnosti pre protilátku CONFIRM anti-S100 (Polyclonal) boli vykonané s cieľom preukázať:</w:t>
      </w:r>
    </w:p>
    <w:p w14:paraId="4547FECB" w14:textId="77777777" w:rsidR="00BE6ABF" w:rsidRPr="0018475F" w:rsidRDefault="00BE6ABF" w:rsidP="00BE6ABF">
      <w:pPr>
        <w:pStyle w:val="BulletOne"/>
      </w:pPr>
      <w:r w:rsidRPr="0018475F">
        <w:rPr>
          <w:lang w:val="sk"/>
        </w:rPr>
        <w:t>Presnosť protilátky medzi šaržami.</w:t>
      </w:r>
    </w:p>
    <w:p w14:paraId="76068224" w14:textId="77777777" w:rsidR="00BE6ABF" w:rsidRPr="0018475F" w:rsidRDefault="00BE6ABF" w:rsidP="00BE6ABF">
      <w:pPr>
        <w:pStyle w:val="BulletOne"/>
      </w:pPr>
      <w:r w:rsidRPr="0018475F">
        <w:rPr>
          <w:lang w:val="sk"/>
        </w:rPr>
        <w:t>Presnosť prístroja BenchMark ULTRA v rámci cyklu a medzi dňami.</w:t>
      </w:r>
    </w:p>
    <w:p w14:paraId="72BB9B75" w14:textId="77777777" w:rsidR="00BE6ABF" w:rsidRPr="0018475F" w:rsidRDefault="00BE6ABF" w:rsidP="00BE6ABF">
      <w:pPr>
        <w:pStyle w:val="BulletOne"/>
      </w:pPr>
      <w:r w:rsidRPr="0018475F">
        <w:rPr>
          <w:lang w:val="sk"/>
        </w:rPr>
        <w:t>Presnosť medzi prístrojmi v prístrojoch BenchMark GX a BenchMark ULTRA.</w:t>
      </w:r>
    </w:p>
    <w:p w14:paraId="2247C56D" w14:textId="77777777" w:rsidR="00BE6ABF" w:rsidRPr="0018475F" w:rsidRDefault="00BE6ABF" w:rsidP="00BE6ABF">
      <w:pPr>
        <w:pStyle w:val="BulletOne"/>
      </w:pPr>
      <w:r w:rsidRPr="0018475F">
        <w:rPr>
          <w:lang w:val="sk"/>
        </w:rPr>
        <w:t>Presnosť medzi platformami v prístrojoch BenchMark GX a BenchMark ULTRA.</w:t>
      </w:r>
    </w:p>
    <w:p w14:paraId="366DAC0F" w14:textId="77777777" w:rsidR="00BE6ABF" w:rsidRPr="0018475F" w:rsidRDefault="00BE6ABF" w:rsidP="00BE6ABF">
      <w:pPr>
        <w:pStyle w:val="BodyText"/>
      </w:pPr>
      <w:r w:rsidRPr="0018475F">
        <w:rPr>
          <w:lang w:val="sk"/>
        </w:rPr>
        <w:t>Všetky štúdie splnili svoje kritériá prijateľnosti.</w:t>
      </w:r>
    </w:p>
    <w:p w14:paraId="286E7D8A" w14:textId="77777777" w:rsidR="00BE6ABF" w:rsidRPr="0018475F" w:rsidRDefault="00BE6ABF" w:rsidP="00BE6ABF">
      <w:pPr>
        <w:pStyle w:val="BodyText"/>
      </w:pPr>
      <w:r w:rsidRPr="0018475F">
        <w:rPr>
          <w:lang w:val="sk"/>
        </w:rPr>
        <w:t>Presnosť v prístroji BenchMark ULTRA PLUS bola preukázaná pomocou reprezentatívnych analýz. Štúdie zahŕňali testovanie opakovateľnosti v rámci cyklu a strednej presnosti medzi dňami a medzi cyklami. Všetky štúdie splnili svoje kritériá prijateľnosti.</w:t>
      </w:r>
    </w:p>
    <w:p w14:paraId="31D2D28D" w14:textId="77777777" w:rsidR="00BE6ABF" w:rsidRPr="0018475F" w:rsidRDefault="00BE6ABF" w:rsidP="00BE6ABF">
      <w:pPr>
        <w:pStyle w:val="Heading1"/>
      </w:pPr>
      <w:r w:rsidRPr="0018475F">
        <w:rPr>
          <w:bCs/>
          <w:lang w:val="sk"/>
        </w:rPr>
        <w:t>KLINICKÁ ÚČINNOSŤ</w:t>
      </w:r>
    </w:p>
    <w:p w14:paraId="7FE446A2" w14:textId="77777777" w:rsidR="00BE6ABF" w:rsidRPr="0018475F" w:rsidRDefault="00BE6ABF" w:rsidP="00BE6ABF">
      <w:r w:rsidRPr="0018475F">
        <w:rPr>
          <w:lang w:val="sk"/>
        </w:rPr>
        <w:t>Údaje o klinickej účinnosti relevantné pre určený účel protilátky CONFIRM anti-S100 (Polyclonal) sa vyhodnotili systematickým prehľadom literatúry. Získané údaje podporujú použitie pomôcky v súlade s určeným účelom.</w:t>
      </w:r>
    </w:p>
    <w:p w14:paraId="7376A5C4" w14:textId="77777777" w:rsidR="00BE6ABF" w:rsidRPr="0018475F" w:rsidRDefault="00BE6ABF" w:rsidP="00BE6ABF">
      <w:pPr>
        <w:pStyle w:val="Heading1"/>
      </w:pPr>
      <w:r w:rsidRPr="0018475F">
        <w:rPr>
          <w:bCs/>
          <w:lang w:val="sk"/>
        </w:rPr>
        <w:t>literatúra</w:t>
      </w:r>
    </w:p>
    <w:p w14:paraId="29C24638" w14:textId="77777777" w:rsidR="00BE6ABF" w:rsidRPr="0018475F" w:rsidRDefault="00BE6ABF" w:rsidP="00BE6ABF">
      <w:pPr>
        <w:pStyle w:val="StepOne"/>
        <w:numPr>
          <w:ilvl w:val="0"/>
          <w:numId w:val="36"/>
        </w:numPr>
      </w:pPr>
      <w:bookmarkStart w:id="13" w:name="OLE_LINK3"/>
      <w:bookmarkStart w:id="14" w:name="OLE_LINK2"/>
      <w:r w:rsidRPr="0018475F">
        <w:t>Halawi A, Abbas O, Mahalingam M. S100 proteins and the skin: a review. J Eur Acad Dermatol Venereol. 2014;28(4):405-414.</w:t>
      </w:r>
    </w:p>
    <w:p w14:paraId="1D0C891E" w14:textId="77777777" w:rsidR="00BE6ABF" w:rsidRPr="0018475F" w:rsidRDefault="00BE6ABF" w:rsidP="00BE6ABF">
      <w:pPr>
        <w:pStyle w:val="StepOne"/>
      </w:pPr>
      <w:r w:rsidRPr="0018475F">
        <w:t>Donato R, Cannon BR, Sorci G, et al. Functions of S100 proteins. Curr Mol Med. 2013;13(1):24-57.</w:t>
      </w:r>
    </w:p>
    <w:p w14:paraId="04F51546" w14:textId="77777777" w:rsidR="00BE6ABF" w:rsidRPr="0018475F" w:rsidRDefault="00BE6ABF" w:rsidP="00BE6ABF">
      <w:pPr>
        <w:pStyle w:val="StepOne"/>
      </w:pPr>
      <w:r w:rsidRPr="0018475F">
        <w:t>Ordonez NG. Value of melanocytic-associated immunohistochemical markers in the     diagnosis of malignant melanoma: a review and update. Human Pathology. 2014;45(2):191-205.</w:t>
      </w:r>
    </w:p>
    <w:p w14:paraId="493DDBF2" w14:textId="77777777" w:rsidR="00BE6ABF" w:rsidRPr="0018475F" w:rsidRDefault="00BE6ABF" w:rsidP="00BE6ABF">
      <w:pPr>
        <w:pStyle w:val="StepOne"/>
      </w:pPr>
      <w:r w:rsidRPr="0018475F">
        <w:t>Carson FL, Cappellano C.  Histotechnology; A Self-Instructional Text, 5th edition.  American Society for Clinical Pathology Press; 2020, 2022.</w:t>
      </w:r>
    </w:p>
    <w:bookmarkEnd w:id="13"/>
    <w:bookmarkEnd w:id="14"/>
    <w:p w14:paraId="652BB19F" w14:textId="77777777" w:rsidR="00BE6ABF" w:rsidRPr="0018475F" w:rsidRDefault="00BE6ABF" w:rsidP="00BE6ABF">
      <w:pPr>
        <w:pStyle w:val="StepOne"/>
      </w:pPr>
      <w:r w:rsidRPr="0018475F">
        <w:t>Occupational Safety and Health Standards: Occupational exposure to hazardous chemicals in laboratories. (29 CFR Part 1910.1450). Fed. Register.</w:t>
      </w:r>
    </w:p>
    <w:p w14:paraId="584A1161" w14:textId="77777777" w:rsidR="00BE6ABF" w:rsidRPr="0018475F" w:rsidRDefault="00351BD7" w:rsidP="00BE6ABF">
      <w:pPr>
        <w:pStyle w:val="StepOne"/>
      </w:pPr>
      <w:r w:rsidRPr="0018475F">
        <w:t>Directive 2000/54/EC of the European Parliament and Council of 24 June 2020 on the protection of workers from risks related to exposure to biological agents at work.</w:t>
      </w:r>
    </w:p>
    <w:p w14:paraId="2C89904E" w14:textId="77777777" w:rsidR="00BE6ABF" w:rsidRPr="0018475F" w:rsidRDefault="00BE6ABF" w:rsidP="00BE6ABF">
      <w:pPr>
        <w:pStyle w:val="StepOne"/>
      </w:pPr>
      <w:r w:rsidRPr="0018475F">
        <w:t>Roche PC, Hsi ED. Immunohistochemistry-Principles and Advances. Manual of Clinical Laboratory Immunology, 6th edition. In: NR Rose, ed. ASM Press; 2002.</w:t>
      </w:r>
    </w:p>
    <w:p w14:paraId="3471C08D" w14:textId="77777777" w:rsidR="00BE6ABF" w:rsidRPr="0018475F" w:rsidRDefault="00BE6ABF" w:rsidP="00BE6ABF">
      <w:pPr>
        <w:pStyle w:val="BodyText"/>
      </w:pPr>
      <w:r w:rsidRPr="0018475F">
        <w:rPr>
          <w:rStyle w:val="BoldText"/>
          <w:bCs/>
          <w:lang w:val="sk"/>
        </w:rPr>
        <w:t>POZNÁMKA</w:t>
      </w:r>
      <w:r w:rsidRPr="0018475F">
        <w:rPr>
          <w:lang w:val="sk"/>
        </w:rPr>
        <w:t>:  Na označenie hranice medzi celým číslom a zlomkovými časťami desatinnej číslice sa v celom tomto dokumente namiesto desatinnej čiarky používa bodka. Na oddelenie tisícov sa nepoužívajú žiadne znaky.</w:t>
      </w:r>
    </w:p>
    <w:p w14:paraId="0AF4AE41" w14:textId="77777777" w:rsidR="00BE6ABF" w:rsidRPr="0018475F" w:rsidRDefault="00BE6ABF" w:rsidP="00BE6ABF">
      <w:pPr>
        <w:pStyle w:val="BodyText"/>
      </w:pPr>
      <w:r w:rsidRPr="0018475F">
        <w:rPr>
          <w:lang w:val="sk"/>
        </w:rPr>
        <w:t>Súhrn informácií o bezpečnosti a výkone nájdete tu:</w:t>
      </w:r>
    </w:p>
    <w:p w14:paraId="67CD9C99" w14:textId="77777777" w:rsidR="00BE6ABF" w:rsidRPr="0018475F" w:rsidRDefault="00BE6ABF" w:rsidP="00BE6ABF">
      <w:pPr>
        <w:pStyle w:val="BodyText"/>
        <w:rPr>
          <w:rStyle w:val="Hyperlink"/>
        </w:rPr>
      </w:pPr>
      <w:r w:rsidRPr="0018475F">
        <w:rPr>
          <w:lang w:val="sk"/>
        </w:rPr>
        <w:fldChar w:fldCharType="begin"/>
      </w:r>
      <w:r w:rsidRPr="0018475F">
        <w:rPr>
          <w:lang w:val="sk"/>
        </w:rPr>
        <w:instrText xml:space="preserve"> HYPERLINK "https://ec.europa.eu/tools/eudamed" </w:instrText>
      </w:r>
      <w:r w:rsidRPr="0018475F">
        <w:rPr>
          <w:lang w:val="sk"/>
        </w:rPr>
      </w:r>
      <w:r w:rsidRPr="0018475F">
        <w:rPr>
          <w:lang w:val="sk"/>
        </w:rPr>
        <w:fldChar w:fldCharType="separate"/>
      </w:r>
      <w:r w:rsidRPr="0018475F">
        <w:rPr>
          <w:rStyle w:val="Hyperlink"/>
          <w:lang w:val="sk"/>
        </w:rPr>
        <w:t>https://ec.europa.eu/tools/eudamed</w:t>
      </w:r>
    </w:p>
    <w:p w14:paraId="55FD8122" w14:textId="77777777" w:rsidR="00BE6ABF" w:rsidRPr="0018475F" w:rsidRDefault="00BE6ABF" w:rsidP="00BE6ABF">
      <w:pPr>
        <w:pStyle w:val="Heading2"/>
      </w:pPr>
      <w:r w:rsidRPr="0018475F">
        <w:rPr>
          <w:b w:val="0"/>
          <w:lang w:val="sk"/>
        </w:rPr>
        <w:fldChar w:fldCharType="end"/>
      </w:r>
      <w:r w:rsidRPr="0018475F">
        <w:rPr>
          <w:bCs/>
          <w:lang w:val="sk"/>
        </w:rPr>
        <w:t>Symboly</w:t>
      </w:r>
    </w:p>
    <w:p w14:paraId="794FD03D" w14:textId="77777777" w:rsidR="00BE6ABF" w:rsidRPr="0018475F" w:rsidRDefault="00BE6ABF" w:rsidP="00BE6ABF">
      <w:pPr>
        <w:pStyle w:val="BodyText"/>
      </w:pPr>
      <w:r w:rsidRPr="0018475F">
        <w:rPr>
          <w:lang w:val="sk"/>
        </w:rPr>
        <w:t>Spoločnosť Ventana používa okrem symbolov a značiek uvedených v norme ISO 15223</w:t>
      </w:r>
      <w:r w:rsidRPr="0018475F">
        <w:rPr>
          <w:lang w:val="sk"/>
        </w:rPr>
        <w:noBreakHyphen/>
        <w:t xml:space="preserve">1 aj nasledujúce symboly a značky (ďalšie informácie pre USA: pozri </w:t>
      </w:r>
      <w:hyperlink r:id="rId15" w:history="1">
        <w:r w:rsidRPr="0018475F">
          <w:rPr>
            <w:rStyle w:val="Hyperlink"/>
            <w:lang w:val="sk"/>
          </w:rPr>
          <w:t>elabdoc.roche.com/symbols</w:t>
        </w:r>
      </w:hyperlink>
      <w:r w:rsidRPr="0018475F">
        <w:rPr>
          <w:lang w:val="sk"/>
        </w:rPr>
        <w:t>).</w:t>
      </w:r>
    </w:p>
    <w:tbl>
      <w:tblPr>
        <w:tblW w:w="0" w:type="auto"/>
        <w:tblCellMar>
          <w:left w:w="0" w:type="dxa"/>
          <w:right w:w="0" w:type="dxa"/>
        </w:tblCellMar>
        <w:tblLook w:val="04A0" w:firstRow="1" w:lastRow="0" w:firstColumn="1" w:lastColumn="0" w:noHBand="0" w:noVBand="1"/>
      </w:tblPr>
      <w:tblGrid>
        <w:gridCol w:w="1075"/>
        <w:gridCol w:w="4171"/>
      </w:tblGrid>
      <w:tr w:rsidR="00BE6ABF" w:rsidRPr="0018475F" w14:paraId="4E29F265" w14:textId="77777777" w:rsidTr="00BE6ABF">
        <w:trPr>
          <w:cantSplit/>
        </w:trPr>
        <w:tc>
          <w:tcPr>
            <w:tcW w:w="1075" w:type="dxa"/>
            <w:vAlign w:val="center"/>
          </w:tcPr>
          <w:p w14:paraId="05F49AAA" w14:textId="77777777" w:rsidR="00BE6ABF" w:rsidRPr="0018475F" w:rsidRDefault="00BE6ABF" w:rsidP="00BE6ABF">
            <w:pPr>
              <w:pStyle w:val="BodyText"/>
            </w:pPr>
            <w:r w:rsidRPr="0018475F">
              <w:rPr>
                <w:noProof/>
                <w:lang w:val="sk"/>
              </w:rPr>
              <w:drawing>
                <wp:inline distT="0" distB="0" distL="0" distR="0" wp14:anchorId="0E3B36EB" wp14:editId="10B69763">
                  <wp:extent cx="356616" cy="21031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bel_3-GTIN.png"/>
                          <pic:cNvPicPr/>
                        </pic:nvPicPr>
                        <pic:blipFill rotWithShape="1">
                          <a:blip r:embed="rId16" cstate="print">
                            <a:extLst>
                              <a:ext uri="{28A0092B-C50C-407E-A947-70E740481C1C}">
                                <a14:useLocalDpi xmlns:a14="http://schemas.microsoft.com/office/drawing/2010/main" val="0"/>
                              </a:ext>
                            </a:extLst>
                          </a:blip>
                          <a:srcRect l="3532" t="22672" r="3520" b="22718"/>
                          <a:stretch/>
                        </pic:blipFill>
                        <pic:spPr bwMode="auto">
                          <a:xfrm>
                            <a:off x="0" y="0"/>
                            <a:ext cx="356616" cy="210312"/>
                          </a:xfrm>
                          <a:prstGeom prst="rect">
                            <a:avLst/>
                          </a:prstGeom>
                          <a:ln>
                            <a:noFill/>
                          </a:ln>
                          <a:extLst>
                            <a:ext uri="{53640926-AAD7-44D8-BBD7-CCE9431645EC}">
                              <a14:shadowObscured xmlns:a14="http://schemas.microsoft.com/office/drawing/2010/main"/>
                            </a:ext>
                          </a:extLst>
                        </pic:spPr>
                      </pic:pic>
                    </a:graphicData>
                  </a:graphic>
                </wp:inline>
              </w:drawing>
            </w:r>
          </w:p>
        </w:tc>
        <w:tc>
          <w:tcPr>
            <w:tcW w:w="4171" w:type="dxa"/>
            <w:vAlign w:val="center"/>
          </w:tcPr>
          <w:p w14:paraId="13DE31D2" w14:textId="77777777" w:rsidR="00BE6ABF" w:rsidRPr="0018475F" w:rsidRDefault="00BE6ABF" w:rsidP="00BE6ABF">
            <w:pPr>
              <w:pStyle w:val="BodyText"/>
            </w:pPr>
            <w:r w:rsidRPr="0018475F">
              <w:rPr>
                <w:lang w:val="sk"/>
              </w:rPr>
              <w:t>Globálne číslo obchodnej jednotky</w:t>
            </w:r>
          </w:p>
        </w:tc>
      </w:tr>
      <w:tr w:rsidR="00BE6ABF" w:rsidRPr="0018475F" w14:paraId="488D9631" w14:textId="77777777" w:rsidTr="00BE6ABF">
        <w:trPr>
          <w:cantSplit/>
        </w:trPr>
        <w:tc>
          <w:tcPr>
            <w:tcW w:w="1075" w:type="dxa"/>
            <w:vAlign w:val="center"/>
          </w:tcPr>
          <w:p w14:paraId="3A44F3DE" w14:textId="77777777" w:rsidR="00BE6ABF" w:rsidRPr="0018475F" w:rsidRDefault="00BE6ABF">
            <w:pPr>
              <w:pStyle w:val="BodyText"/>
            </w:pPr>
            <w:r w:rsidRPr="0018475F">
              <w:rPr>
                <w:lang w:val="sk"/>
              </w:rPr>
              <w:t>Rx only</w:t>
            </w:r>
          </w:p>
        </w:tc>
        <w:tc>
          <w:tcPr>
            <w:tcW w:w="4171" w:type="dxa"/>
            <w:vAlign w:val="center"/>
          </w:tcPr>
          <w:p w14:paraId="024C6A10" w14:textId="77777777" w:rsidR="00BE6ABF" w:rsidRPr="0018475F" w:rsidRDefault="00BE6ABF" w:rsidP="00BE6ABF">
            <w:pPr>
              <w:pStyle w:val="BodyText"/>
            </w:pPr>
            <w:r w:rsidRPr="0018475F">
              <w:rPr>
                <w:lang w:val="sk"/>
              </w:rPr>
              <w:t>Pre USA: Upozornenie: Federálny zákon obmedzuje predaj tejto pomôcky iba prostredníctvom alebo na objednávku lekára.</w:t>
            </w:r>
          </w:p>
        </w:tc>
      </w:tr>
    </w:tbl>
    <w:p w14:paraId="7AC7C059" w14:textId="77777777" w:rsidR="00BE6ABF" w:rsidRPr="0018475F" w:rsidRDefault="00BE6ABF" w:rsidP="00BE6ABF">
      <w:pPr>
        <w:pStyle w:val="Heading1"/>
      </w:pPr>
      <w:r w:rsidRPr="0018475F">
        <w:rPr>
          <w:bCs/>
          <w:lang w:val="sk"/>
        </w:rPr>
        <w:t>História revízií</w:t>
      </w:r>
    </w:p>
    <w:tbl>
      <w:tblPr>
        <w:tblW w:w="53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4230"/>
      </w:tblGrid>
      <w:tr w:rsidR="00BE6ABF" w:rsidRPr="0018475F" w14:paraId="4F62A374" w14:textId="77777777" w:rsidTr="00BE6ABF">
        <w:trPr>
          <w:cantSplit/>
        </w:trPr>
        <w:tc>
          <w:tcPr>
            <w:tcW w:w="1080" w:type="dxa"/>
            <w:shd w:val="pct25" w:color="auto" w:fill="auto"/>
          </w:tcPr>
          <w:p w14:paraId="5C2B1269" w14:textId="77777777" w:rsidR="00BE6ABF" w:rsidRPr="0018475F" w:rsidRDefault="00BE6ABF" w:rsidP="00604B2F">
            <w:pPr>
              <w:pStyle w:val="TableHeadingCenter"/>
            </w:pPr>
            <w:r w:rsidRPr="0018475F">
              <w:rPr>
                <w:bCs/>
                <w:lang w:val="sk"/>
              </w:rPr>
              <w:t xml:space="preserve">Rev. </w:t>
            </w:r>
          </w:p>
        </w:tc>
        <w:tc>
          <w:tcPr>
            <w:tcW w:w="4230" w:type="dxa"/>
            <w:shd w:val="pct25" w:color="auto" w:fill="auto"/>
          </w:tcPr>
          <w:p w14:paraId="7B6E3E8D" w14:textId="77777777" w:rsidR="00BE6ABF" w:rsidRPr="0018475F" w:rsidRDefault="00BE6ABF" w:rsidP="00604B2F">
            <w:pPr>
              <w:pStyle w:val="TableHeadingCenter"/>
            </w:pPr>
            <w:r w:rsidRPr="0018475F">
              <w:rPr>
                <w:bCs/>
                <w:lang w:val="sk"/>
              </w:rPr>
              <w:t>Aktualizácie</w:t>
            </w:r>
          </w:p>
        </w:tc>
      </w:tr>
      <w:tr w:rsidR="00BE6ABF" w:rsidRPr="0018475F" w14:paraId="3E7EE1C4" w14:textId="77777777" w:rsidTr="00BE6ABF">
        <w:trPr>
          <w:cantSplit/>
        </w:trPr>
        <w:tc>
          <w:tcPr>
            <w:tcW w:w="1080" w:type="dxa"/>
          </w:tcPr>
          <w:p w14:paraId="16257947" w14:textId="77777777" w:rsidR="00BE6ABF" w:rsidRPr="0018475F" w:rsidRDefault="00BE6ABF" w:rsidP="00604B2F">
            <w:pPr>
              <w:pStyle w:val="TableTextCentered"/>
            </w:pPr>
            <w:r w:rsidRPr="0018475F">
              <w:rPr>
                <w:lang w:val="sk"/>
              </w:rPr>
              <w:t>H</w:t>
            </w:r>
          </w:p>
        </w:tc>
        <w:tc>
          <w:tcPr>
            <w:tcW w:w="4230" w:type="dxa"/>
          </w:tcPr>
          <w:p w14:paraId="36AA4DFE" w14:textId="77777777" w:rsidR="00BE6ABF" w:rsidRPr="0018475F" w:rsidRDefault="00BE6ABF" w:rsidP="00BE6ABF">
            <w:pPr>
              <w:pStyle w:val="TableTextLeft"/>
            </w:pPr>
            <w:r w:rsidRPr="0018475F">
              <w:rPr>
                <w:lang w:val="sk"/>
              </w:rPr>
              <w:t>Aktualizácie časti Varovania a bezpečnostné opatrenia. Aktualizácie aktuálnej šablóny.</w:t>
            </w:r>
          </w:p>
        </w:tc>
      </w:tr>
    </w:tbl>
    <w:p w14:paraId="24A7E389" w14:textId="77777777" w:rsidR="00BE6ABF" w:rsidRPr="0018475F" w:rsidRDefault="00BE6ABF" w:rsidP="00BE6ABF">
      <w:pPr>
        <w:pStyle w:val="Heading1"/>
      </w:pPr>
      <w:r w:rsidRPr="0018475F">
        <w:rPr>
          <w:bCs/>
          <w:lang w:val="sk"/>
        </w:rPr>
        <w:t>Duševné vlastníctvo</w:t>
      </w:r>
    </w:p>
    <w:p w14:paraId="57D0D59C" w14:textId="77777777" w:rsidR="00BE6ABF" w:rsidRPr="0018475F" w:rsidRDefault="00BE6ABF" w:rsidP="00604B2F">
      <w:pPr>
        <w:pStyle w:val="BodyText"/>
      </w:pPr>
      <w:r w:rsidRPr="0018475F">
        <w:rPr>
          <w:lang w:val="sk"/>
        </w:rPr>
        <w:t xml:space="preserve">VENTANA, BENCHMARK, CONFIRM, OPTIVIEW a ULTRAVIEW sú ochranné známky spoločnosti Roche. Všetky ostatné názvy produktov a ochranné známky sú majetkom ich príslušných vlastníkov. </w:t>
      </w:r>
    </w:p>
    <w:p w14:paraId="019FAF85" w14:textId="77777777" w:rsidR="00BE6ABF" w:rsidRPr="0018475F" w:rsidRDefault="00BE6ABF" w:rsidP="00BE6ABF">
      <w:pPr>
        <w:pStyle w:val="BodyText"/>
      </w:pPr>
      <w:r w:rsidRPr="0018475F">
        <w:t xml:space="preserve">© 2024 Ventana Medical Systems, Inc. </w:t>
      </w:r>
    </w:p>
    <w:p w14:paraId="661D3FBB" w14:textId="77777777" w:rsidR="00BE6ABF" w:rsidRPr="0018475F" w:rsidRDefault="00BE6ABF" w:rsidP="00BE6ABF">
      <w:pPr>
        <w:pStyle w:val="BodyText"/>
      </w:pPr>
    </w:p>
    <w:p w14:paraId="0B22CE8B" w14:textId="77777777" w:rsidR="00BE6ABF" w:rsidRPr="0018475F" w:rsidRDefault="00BE6ABF" w:rsidP="00BE6ABF">
      <w:pPr>
        <w:pStyle w:val="BodyText"/>
      </w:pPr>
      <w:r w:rsidRPr="0018475F">
        <w:t>For USA: Rx only</w:t>
      </w:r>
    </w:p>
    <w:p w14:paraId="515A4EC3" w14:textId="77777777" w:rsidR="00BE6ABF" w:rsidRPr="0018475F" w:rsidRDefault="00BE6ABF" w:rsidP="00604B2F">
      <w:pPr>
        <w:pStyle w:val="Heading1"/>
      </w:pPr>
      <w:bookmarkStart w:id="15" w:name="_PictureBullets"/>
      <w:bookmarkStart w:id="16" w:name="OLE_LINK1"/>
      <w:bookmarkEnd w:id="15"/>
      <w:bookmarkEnd w:id="16"/>
      <w:r w:rsidRPr="0018475F">
        <w:rPr>
          <w:bCs/>
          <w:lang w:val="sk"/>
        </w:rPr>
        <w:t>Kontaktné údaje</w:t>
      </w:r>
    </w:p>
    <w:tbl>
      <w:tblPr>
        <w:tblW w:w="0" w:type="auto"/>
        <w:tblCellMar>
          <w:left w:w="0" w:type="dxa"/>
          <w:right w:w="115" w:type="dxa"/>
        </w:tblCellMar>
        <w:tblLook w:val="04A0" w:firstRow="1" w:lastRow="0" w:firstColumn="1" w:lastColumn="0" w:noHBand="0" w:noVBand="1"/>
      </w:tblPr>
      <w:tblGrid>
        <w:gridCol w:w="2430"/>
      </w:tblGrid>
      <w:tr w:rsidR="00BE6ABF" w:rsidRPr="0018475F" w14:paraId="5EB1946E" w14:textId="77777777" w:rsidTr="00BE6ABF">
        <w:trPr>
          <w:cantSplit/>
        </w:trPr>
        <w:tc>
          <w:tcPr>
            <w:tcW w:w="2430" w:type="dxa"/>
          </w:tcPr>
          <w:p w14:paraId="108C6563" w14:textId="77777777" w:rsidR="00BE6ABF" w:rsidRPr="0018475F" w:rsidRDefault="00BE6ABF" w:rsidP="00BE6ABF">
            <w:pPr>
              <w:pStyle w:val="BodyText"/>
            </w:pPr>
            <w:r w:rsidRPr="0018475F">
              <w:rPr>
                <w:noProof/>
                <w:lang w:val="sk"/>
              </w:rPr>
              <w:drawing>
                <wp:inline distT="0" distB="0" distL="0" distR="0" wp14:anchorId="47DA656A" wp14:editId="2071730B">
                  <wp:extent cx="171450" cy="177800"/>
                  <wp:effectExtent l="0" t="0" r="0" b="0"/>
                  <wp:docPr id="15" name="Picture 15" descr="Výro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ufactur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p>
          <w:p w14:paraId="751A3292" w14:textId="77777777" w:rsidR="00BE6ABF" w:rsidRPr="0018475F" w:rsidRDefault="00BE6ABF" w:rsidP="00BE6ABF">
            <w:pPr>
              <w:pStyle w:val="BodyText"/>
            </w:pPr>
            <w:r w:rsidRPr="0018475F">
              <w:t>Ventana Medical Systems, Inc.</w:t>
            </w:r>
            <w:r w:rsidRPr="0018475F">
              <w:br/>
              <w:t>1910 E. Innovation Park Drive</w:t>
            </w:r>
            <w:r w:rsidRPr="0018475F">
              <w:br/>
              <w:t>Tucson, AZ 85755</w:t>
            </w:r>
            <w:r w:rsidRPr="0018475F">
              <w:br/>
              <w:t>USA</w:t>
            </w:r>
            <w:r w:rsidRPr="0018475F">
              <w:br/>
              <w:t>+1 520 887 2155</w:t>
            </w:r>
            <w:r w:rsidRPr="0018475F">
              <w:br/>
              <w:t>+1 800 227 2155 (USA)</w:t>
            </w:r>
          </w:p>
          <w:tbl>
            <w:tblPr>
              <w:tblW w:w="0" w:type="auto"/>
              <w:tblLook w:val="04A0" w:firstRow="1" w:lastRow="0" w:firstColumn="1" w:lastColumn="0" w:noHBand="0" w:noVBand="1"/>
            </w:tblPr>
            <w:tblGrid>
              <w:gridCol w:w="1440"/>
            </w:tblGrid>
            <w:tr w:rsidR="00BE6ABF" w:rsidRPr="0018475F" w14:paraId="38FF6E27" w14:textId="77777777" w:rsidTr="00BE6ABF">
              <w:tc>
                <w:tcPr>
                  <w:tcW w:w="1440" w:type="dxa"/>
                  <w:tcMar>
                    <w:left w:w="0" w:type="dxa"/>
                    <w:right w:w="115" w:type="dxa"/>
                  </w:tcMar>
                  <w:vAlign w:val="center"/>
                </w:tcPr>
                <w:p w14:paraId="0913004E" w14:textId="77777777" w:rsidR="00BE6ABF" w:rsidRPr="0018475F" w:rsidRDefault="008D357C" w:rsidP="00BE6ABF">
                  <w:pPr>
                    <w:pStyle w:val="BodyText"/>
                  </w:pPr>
                  <w:hyperlink r:id="rId18" w:history="1">
                    <w:r w:rsidRPr="0018475F">
                      <w:rPr>
                        <w:rStyle w:val="Hyperlink"/>
                      </w:rPr>
                      <w:t>www.roche.com</w:t>
                    </w:r>
                  </w:hyperlink>
                  <w:r w:rsidRPr="0018475F">
                    <w:t xml:space="preserve"> </w:t>
                  </w:r>
                </w:p>
              </w:tc>
            </w:tr>
          </w:tbl>
          <w:p w14:paraId="3A31A263" w14:textId="77777777" w:rsidR="00BE6ABF" w:rsidRPr="0018475F" w:rsidRDefault="00BE6ABF" w:rsidP="00BE6ABF">
            <w:pPr>
              <w:pStyle w:val="BodyText"/>
            </w:pPr>
            <w:r w:rsidRPr="0018475F">
              <w:rPr>
                <w:noProof/>
              </w:rPr>
              <w:drawing>
                <wp:inline distT="0" distB="0" distL="0" distR="0" wp14:anchorId="3B57372D" wp14:editId="1BEC8C72">
                  <wp:extent cx="502920" cy="201168"/>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el_2-Authorized representative in the EC.jpg"/>
                          <pic:cNvPicPr/>
                        </pic:nvPicPr>
                        <pic:blipFill rotWithShape="1">
                          <a:blip r:embed="rId19" cstate="print">
                            <a:extLst>
                              <a:ext uri="{28A0092B-C50C-407E-A947-70E740481C1C}">
                                <a14:useLocalDpi xmlns:a14="http://schemas.microsoft.com/office/drawing/2010/main" val="0"/>
                              </a:ext>
                            </a:extLst>
                          </a:blip>
                          <a:srcRect l="3765" t="31259" r="3925" b="31443"/>
                          <a:stretch/>
                        </pic:blipFill>
                        <pic:spPr bwMode="auto">
                          <a:xfrm>
                            <a:off x="0" y="0"/>
                            <a:ext cx="502920" cy="201168"/>
                          </a:xfrm>
                          <a:prstGeom prst="rect">
                            <a:avLst/>
                          </a:prstGeom>
                          <a:ln>
                            <a:noFill/>
                          </a:ln>
                          <a:extLst>
                            <a:ext uri="{53640926-AAD7-44D8-BBD7-CCE9431645EC}">
                              <a14:shadowObscured xmlns:a14="http://schemas.microsoft.com/office/drawing/2010/main"/>
                            </a:ext>
                          </a:extLst>
                        </pic:spPr>
                      </pic:pic>
                    </a:graphicData>
                  </a:graphic>
                </wp:inline>
              </w:drawing>
            </w:r>
            <w:r w:rsidRPr="0018475F">
              <w:t xml:space="preserve"> </w:t>
            </w:r>
            <w:r w:rsidRPr="0018475F">
              <w:rPr>
                <w:noProof/>
              </w:rPr>
              <w:drawing>
                <wp:inline distT="0" distB="0" distL="0" distR="0" wp14:anchorId="5CD4B5BF" wp14:editId="674D5366">
                  <wp:extent cx="274320" cy="2743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1D2F901A" w14:textId="77777777" w:rsidR="00BE6ABF" w:rsidRPr="0018475F" w:rsidRDefault="00BE6ABF" w:rsidP="00BE6ABF">
            <w:pPr>
              <w:pStyle w:val="BodyText"/>
            </w:pPr>
            <w:r w:rsidRPr="0018475F">
              <w:t>Roche Diagnostics GmbH</w:t>
            </w:r>
            <w:r w:rsidRPr="0018475F">
              <w:br/>
              <w:t>Sandhofer Strasse 116</w:t>
            </w:r>
            <w:r w:rsidRPr="0018475F">
              <w:br/>
              <w:t>68305 Mannheim</w:t>
            </w:r>
            <w:r w:rsidRPr="0018475F">
              <w:br/>
              <w:t>Germany</w:t>
            </w:r>
            <w:r w:rsidRPr="0018475F">
              <w:br/>
              <w:t>+800 5505 6606</w:t>
            </w:r>
          </w:p>
          <w:p w14:paraId="44B7EAA5" w14:textId="77777777" w:rsidR="00BE6ABF" w:rsidRPr="0018475F" w:rsidRDefault="00BE6ABF" w:rsidP="00BE6ABF">
            <w:pPr>
              <w:pStyle w:val="BodyText"/>
              <w:rPr>
                <w:rStyle w:val="BoldText"/>
              </w:rPr>
            </w:pPr>
            <w:r w:rsidRPr="0018475F">
              <w:rPr>
                <w:noProof/>
                <w:lang w:val="sk"/>
              </w:rPr>
              <w:drawing>
                <wp:inline distT="0" distB="0" distL="0" distR="0" wp14:anchorId="1C85694B" wp14:editId="452511AD">
                  <wp:extent cx="283083" cy="2108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gif.gif"/>
                          <pic:cNvPicPr/>
                        </pic:nvPicPr>
                        <pic:blipFill rotWithShape="1">
                          <a:blip r:embed="rId21" cstate="print">
                            <a:extLst>
                              <a:ext uri="{28A0092B-C50C-407E-A947-70E740481C1C}">
                                <a14:useLocalDpi xmlns:a14="http://schemas.microsoft.com/office/drawing/2010/main" val="0"/>
                              </a:ext>
                            </a:extLst>
                          </a:blip>
                          <a:srcRect l="7979" t="7649" r="17910" b="15082"/>
                          <a:stretch/>
                        </pic:blipFill>
                        <pic:spPr bwMode="auto">
                          <a:xfrm>
                            <a:off x="0" y="0"/>
                            <a:ext cx="284618" cy="211963"/>
                          </a:xfrm>
                          <a:prstGeom prst="rect">
                            <a:avLst/>
                          </a:prstGeom>
                          <a:ln>
                            <a:noFill/>
                          </a:ln>
                          <a:extLst>
                            <a:ext uri="{53640926-AAD7-44D8-BBD7-CCE9431645EC}">
                              <a14:shadowObscured xmlns:a14="http://schemas.microsoft.com/office/drawing/2010/main"/>
                            </a:ext>
                          </a:extLst>
                        </pic:spPr>
                      </pic:pic>
                    </a:graphicData>
                  </a:graphic>
                </wp:inline>
              </w:drawing>
            </w:r>
            <w:r w:rsidRPr="0018475F">
              <w:rPr>
                <w:lang w:val="sk"/>
              </w:rPr>
              <w:t xml:space="preserve">  </w:t>
            </w:r>
            <w:r w:rsidRPr="0018475F">
              <w:rPr>
                <w:rStyle w:val="BoldText"/>
                <w:bCs/>
                <w:lang w:val="sk"/>
              </w:rPr>
              <w:t>0123</w:t>
            </w:r>
          </w:p>
        </w:tc>
      </w:tr>
    </w:tbl>
    <w:p w14:paraId="5D982DA8" w14:textId="77777777" w:rsidR="00BE6ABF" w:rsidRPr="0018475F" w:rsidRDefault="00BE6ABF" w:rsidP="00BE6ABF">
      <w:pPr>
        <w:pStyle w:val="BodyText"/>
      </w:pPr>
    </w:p>
    <w:p w14:paraId="321C5CE0" w14:textId="77777777" w:rsidR="002E4AE6" w:rsidRPr="0018475F" w:rsidRDefault="002E4AE6" w:rsidP="00BE6ABF"/>
    <w:sectPr w:rsidR="002E4AE6" w:rsidRPr="0018475F">
      <w:headerReference w:type="even" r:id="rId22"/>
      <w:headerReference w:type="default" r:id="rId23"/>
      <w:footerReference w:type="even" r:id="rId24"/>
      <w:footerReference w:type="default" r:id="rId25"/>
      <w:headerReference w:type="first" r:id="rId26"/>
      <w:type w:val="continuous"/>
      <w:pgSz w:w="12240" w:h="15840" w:code="1"/>
      <w:pgMar w:top="720" w:right="720" w:bottom="720" w:left="864" w:header="720" w:footer="720" w:gutter="0"/>
      <w:cols w:num="2" w:space="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36ACE" w14:textId="77777777" w:rsidR="00C35904" w:rsidRDefault="00C35904">
      <w:r>
        <w:separator/>
      </w:r>
    </w:p>
    <w:p w14:paraId="5FC54563" w14:textId="77777777" w:rsidR="00C35904" w:rsidRDefault="00C35904"/>
    <w:p w14:paraId="2E03DE2D" w14:textId="77777777" w:rsidR="00C35904" w:rsidRDefault="00C35904"/>
    <w:p w14:paraId="656F3DCF" w14:textId="77777777" w:rsidR="00C35904" w:rsidRDefault="00C35904"/>
  </w:endnote>
  <w:endnote w:type="continuationSeparator" w:id="0">
    <w:p w14:paraId="4985BF1C" w14:textId="77777777" w:rsidR="00C35904" w:rsidRDefault="00C35904">
      <w:r>
        <w:continuationSeparator/>
      </w:r>
    </w:p>
    <w:p w14:paraId="2B016187" w14:textId="77777777" w:rsidR="00C35904" w:rsidRDefault="00C35904"/>
    <w:p w14:paraId="6F072F0A" w14:textId="77777777" w:rsidR="00C35904" w:rsidRDefault="00C35904"/>
    <w:p w14:paraId="01A478EA" w14:textId="77777777" w:rsidR="00C35904" w:rsidRDefault="00C35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EDE6" w14:textId="77777777" w:rsidR="008D357C" w:rsidRDefault="008D357C">
    <w:pPr>
      <w:pStyle w:val="Footer"/>
    </w:pPr>
  </w:p>
  <w:p w14:paraId="1E4850EC" w14:textId="77777777" w:rsidR="008D357C" w:rsidRDefault="008D35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0459" w14:textId="77777777" w:rsidR="008D357C" w:rsidRPr="0018475F" w:rsidRDefault="008D357C">
    <w:pPr>
      <w:pStyle w:val="Footer"/>
    </w:pPr>
  </w:p>
  <w:p w14:paraId="0C9AB2A3" w14:textId="79D23E08" w:rsidR="008D357C" w:rsidRPr="0018475F" w:rsidRDefault="008D357C">
    <w:pPr>
      <w:pStyle w:val="Footer"/>
      <w:tabs>
        <w:tab w:val="clear" w:pos="5040"/>
        <w:tab w:val="center" w:pos="5220"/>
      </w:tabs>
    </w:pPr>
    <w:r w:rsidRPr="0018475F">
      <w:t xml:space="preserve">2024-07-29 </w:t>
    </w:r>
    <w:r w:rsidRPr="0018475F">
      <w:tab/>
    </w:r>
    <w:r w:rsidRPr="0018475F">
      <w:fldChar w:fldCharType="begin"/>
    </w:r>
    <w:r w:rsidRPr="0018475F">
      <w:instrText xml:space="preserve"> PAGE </w:instrText>
    </w:r>
    <w:r w:rsidRPr="0018475F">
      <w:fldChar w:fldCharType="separate"/>
    </w:r>
    <w:r w:rsidRPr="0018475F">
      <w:rPr>
        <w:noProof/>
      </w:rPr>
      <w:t>5</w:t>
    </w:r>
    <w:r w:rsidRPr="0018475F">
      <w:fldChar w:fldCharType="end"/>
    </w:r>
    <w:r w:rsidRPr="0018475F">
      <w:t xml:space="preserve"> / </w:t>
    </w:r>
    <w:r w:rsidRPr="0018475F">
      <w:rPr>
        <w:noProof/>
      </w:rPr>
      <w:fldChar w:fldCharType="begin"/>
    </w:r>
    <w:r w:rsidRPr="0018475F">
      <w:rPr>
        <w:noProof/>
      </w:rPr>
      <w:instrText xml:space="preserve"> NUMPAGES </w:instrText>
    </w:r>
    <w:r w:rsidRPr="0018475F">
      <w:rPr>
        <w:noProof/>
      </w:rPr>
      <w:fldChar w:fldCharType="separate"/>
    </w:r>
    <w:r w:rsidRPr="0018475F">
      <w:rPr>
        <w:noProof/>
      </w:rPr>
      <w:t>5</w:t>
    </w:r>
    <w:r w:rsidRPr="0018475F">
      <w:rPr>
        <w:noProof/>
      </w:rPr>
      <w:fldChar w:fldCharType="end"/>
    </w:r>
    <w:r w:rsidRPr="0018475F">
      <w:tab/>
      <w:t>18088SK Rev H</w:t>
    </w:r>
  </w:p>
  <w:p w14:paraId="25C3C4B3" w14:textId="77777777" w:rsidR="008D357C" w:rsidRPr="0018475F" w:rsidRDefault="008D357C" w:rsidP="0048142F">
    <w:pPr>
      <w:pStyle w:val="Footer"/>
    </w:pPr>
    <w:r w:rsidRPr="0018475F">
      <w:rPr>
        <w:rStyle w:val="FooterTemplatePN"/>
      </w:rPr>
      <w:t>FT0700-410v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E8750" w14:textId="77777777" w:rsidR="00C35904" w:rsidRDefault="00C35904">
      <w:r>
        <w:separator/>
      </w:r>
    </w:p>
    <w:p w14:paraId="5BE9C8B9" w14:textId="77777777" w:rsidR="00C35904" w:rsidRDefault="00C35904"/>
    <w:p w14:paraId="32C6580B" w14:textId="77777777" w:rsidR="00C35904" w:rsidRDefault="00C35904"/>
    <w:p w14:paraId="7E2C7AFB" w14:textId="77777777" w:rsidR="00C35904" w:rsidRDefault="00C35904"/>
  </w:footnote>
  <w:footnote w:type="continuationSeparator" w:id="0">
    <w:p w14:paraId="696F014E" w14:textId="77777777" w:rsidR="00C35904" w:rsidRDefault="00C35904">
      <w:r>
        <w:continuationSeparator/>
      </w:r>
    </w:p>
    <w:p w14:paraId="6291EB4B" w14:textId="77777777" w:rsidR="00C35904" w:rsidRDefault="00C35904"/>
    <w:p w14:paraId="12FC93E9" w14:textId="77777777" w:rsidR="00C35904" w:rsidRDefault="00C35904"/>
    <w:p w14:paraId="7EC30830" w14:textId="77777777" w:rsidR="00C35904" w:rsidRDefault="00C35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FEAF" w14:textId="77777777" w:rsidR="008D357C" w:rsidRDefault="00000000">
    <w:r>
      <w:rPr>
        <w:noProof/>
        <w:lang w:val="sk"/>
      </w:rPr>
      <w:pict w14:anchorId="31D1A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6" type="#_x0000_t136" style="position:absolute;margin-left:0;margin-top:0;width:536.55pt;height:214.6pt;rotation:315;z-index:-251658240;mso-position-horizontal:center;mso-position-horizontal-relative:margin;mso-position-vertical:center;mso-position-vertical-relative:margin" o:allowincell="f" fillcolor="silver" stroked="f">
          <v:fill opacity=".5"/>
          <v:textpath style="font-family:&quot;Arial Narrow&quot;;font-size:1pt" string="NÁVRH"/>
          <w10:wrap anchorx="margin" anchory="margin"/>
        </v:shape>
      </w:pict>
    </w:r>
  </w:p>
  <w:p w14:paraId="49EC36A5" w14:textId="77777777" w:rsidR="008D357C" w:rsidRDefault="008D35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540"/>
      <w:gridCol w:w="1116"/>
    </w:tblGrid>
    <w:tr w:rsidR="008D357C" w14:paraId="60FC9905" w14:textId="77777777" w:rsidTr="005F6FF4">
      <w:tc>
        <w:tcPr>
          <w:tcW w:w="9540" w:type="dxa"/>
          <w:shd w:val="clear" w:color="auto" w:fill="auto"/>
          <w:tcMar>
            <w:left w:w="0" w:type="dxa"/>
            <w:right w:w="0" w:type="dxa"/>
          </w:tcMar>
          <w:vAlign w:val="center"/>
        </w:tcPr>
        <w:p w14:paraId="46E015D5" w14:textId="77777777" w:rsidR="008D357C" w:rsidRDefault="008D357C">
          <w:r>
            <w:rPr>
              <w:noProof/>
              <w:lang w:val="sk"/>
            </w:rPr>
            <w:drawing>
              <wp:inline distT="0" distB="0" distL="0" distR="0" wp14:anchorId="541A9753" wp14:editId="1B2C22D2">
                <wp:extent cx="1750026" cy="202565"/>
                <wp:effectExtent l="0" t="0" r="3175" b="6985"/>
                <wp:docPr id="25" name="Picture 25" descr="C:\Users\schnek26\AppData\Local\Temp\Tempdfad7088-1e35-40ca-8481-e824eb940cbb_ventana-r-main-logo-pack-20230905.zip\Ventana_Logo_Purpl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nek26\AppData\Local\Temp\Tempdfad7088-1e35-40ca-8481-e824eb940cbb_ventana-r-main-logo-pack-20230905.zip\Ventana_Logo_Purpl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351" cy="214641"/>
                        </a:xfrm>
                        <a:prstGeom prst="rect">
                          <a:avLst/>
                        </a:prstGeom>
                        <a:noFill/>
                        <a:ln>
                          <a:noFill/>
                        </a:ln>
                      </pic:spPr>
                    </pic:pic>
                  </a:graphicData>
                </a:graphic>
              </wp:inline>
            </w:drawing>
          </w:r>
        </w:p>
      </w:tc>
      <w:tc>
        <w:tcPr>
          <w:tcW w:w="1116" w:type="dxa"/>
          <w:shd w:val="clear" w:color="auto" w:fill="auto"/>
          <w:tcMar>
            <w:left w:w="0" w:type="dxa"/>
            <w:right w:w="0" w:type="dxa"/>
          </w:tcMar>
          <w:vAlign w:val="center"/>
        </w:tcPr>
        <w:p w14:paraId="1DB26C97" w14:textId="77777777" w:rsidR="008D357C" w:rsidRDefault="008D357C">
          <w:pPr>
            <w:jc w:val="right"/>
          </w:pPr>
          <w:r>
            <w:rPr>
              <w:noProof/>
              <w:lang w:val="sk"/>
            </w:rPr>
            <w:drawing>
              <wp:inline distT="0" distB="0" distL="0" distR="0" wp14:anchorId="074099B3" wp14:editId="54551F79">
                <wp:extent cx="694690" cy="35941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359410"/>
                        </a:xfrm>
                        <a:prstGeom prst="rect">
                          <a:avLst/>
                        </a:prstGeom>
                        <a:noFill/>
                      </pic:spPr>
                    </pic:pic>
                  </a:graphicData>
                </a:graphic>
              </wp:inline>
            </w:drawing>
          </w:r>
        </w:p>
      </w:tc>
    </w:tr>
  </w:tbl>
  <w:p w14:paraId="55874F8C" w14:textId="77777777" w:rsidR="008D357C" w:rsidRDefault="008D357C">
    <w:pPr>
      <w:pStyle w:val="BodyText"/>
    </w:pPr>
  </w:p>
  <w:p w14:paraId="43039BEE" w14:textId="77777777" w:rsidR="008D357C" w:rsidRDefault="008D35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14798" w14:textId="77777777" w:rsidR="008D357C" w:rsidRDefault="00000000">
    <w:r>
      <w:rPr>
        <w:noProof/>
        <w:lang w:val="sk"/>
      </w:rPr>
      <w:pict w14:anchorId="60A54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5" type="#_x0000_t136" style="position:absolute;margin-left:0;margin-top:0;width:536.55pt;height:214.6pt;rotation:315;z-index:-251659264;mso-position-horizontal:center;mso-position-horizontal-relative:margin;mso-position-vertical:center;mso-position-vertical-relative:margin" o:allowincell="f" fillcolor="silver" stroked="f">
          <v:fill opacity=".5"/>
          <v:textpath style="font-family:&quot;Arial Narrow&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86C0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240ED"/>
    <w:multiLevelType w:val="hybridMultilevel"/>
    <w:tmpl w:val="E3A4A9A4"/>
    <w:lvl w:ilvl="0" w:tplc="DA767970">
      <w:start w:val="1"/>
      <w:numFmt w:val="decimal"/>
      <w:pStyle w:val="StepOn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649BE"/>
    <w:multiLevelType w:val="singleLevel"/>
    <w:tmpl w:val="7FA44E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473CBA"/>
    <w:multiLevelType w:val="singleLevel"/>
    <w:tmpl w:val="4C663908"/>
    <w:lvl w:ilvl="0">
      <w:start w:val="1"/>
      <w:numFmt w:val="bullet"/>
      <w:lvlText w:val=""/>
      <w:lvlJc w:val="left"/>
      <w:pPr>
        <w:tabs>
          <w:tab w:val="num" w:pos="360"/>
        </w:tabs>
        <w:ind w:left="360" w:hanging="360"/>
      </w:pPr>
      <w:rPr>
        <w:rFonts w:ascii="Wingdings" w:hAnsi="Wingdings" w:hint="default"/>
        <w:color w:val="auto"/>
        <w:sz w:val="20"/>
      </w:rPr>
    </w:lvl>
  </w:abstractNum>
  <w:abstractNum w:abstractNumId="4" w15:restartNumberingAfterBreak="0">
    <w:nsid w:val="180C2AA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A5D298A"/>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221C475C"/>
    <w:multiLevelType w:val="multilevel"/>
    <w:tmpl w:val="8DD80C12"/>
    <w:lvl w:ilvl="0">
      <w:start w:val="1"/>
      <w:numFmt w:val="decimal"/>
      <w:pStyle w:val="TableNumberAuto"/>
      <w:lvlText w:val="Tabuľka %1."/>
      <w:lvlJc w:val="left"/>
      <w:pPr>
        <w:ind w:left="0" w:firstLine="0"/>
      </w:pPr>
      <w:rPr>
        <w:rFonts w:ascii="Arial Narrow" w:hAnsi="Arial Narrow" w:hint="default"/>
        <w:b/>
        <w:i w:val="0"/>
        <w:sz w:val="16"/>
      </w:rPr>
    </w:lvl>
    <w:lvl w:ilvl="1">
      <w:start w:val="1"/>
      <w:numFmt w:val="none"/>
      <w:suff w:val="nothing"/>
      <w:lvlText w:val=""/>
      <w:lvlJc w:val="left"/>
      <w:pPr>
        <w:ind w:left="547" w:firstLine="0"/>
      </w:pPr>
      <w:rPr>
        <w:rFonts w:hint="default"/>
      </w:rPr>
    </w:lvl>
    <w:lvl w:ilvl="2">
      <w:start w:val="1"/>
      <w:numFmt w:val="none"/>
      <w:suff w:val="nothing"/>
      <w:lvlText w:val=""/>
      <w:lvlJc w:val="left"/>
      <w:pPr>
        <w:ind w:left="547" w:firstLine="0"/>
      </w:pPr>
      <w:rPr>
        <w:rFonts w:hint="default"/>
      </w:rPr>
    </w:lvl>
    <w:lvl w:ilvl="3">
      <w:start w:val="1"/>
      <w:numFmt w:val="none"/>
      <w:suff w:val="nothing"/>
      <w:lvlText w:val=""/>
      <w:lvlJc w:val="left"/>
      <w:pPr>
        <w:ind w:left="547" w:firstLine="0"/>
      </w:pPr>
      <w:rPr>
        <w:rFonts w:hint="default"/>
      </w:rPr>
    </w:lvl>
    <w:lvl w:ilvl="4">
      <w:start w:val="1"/>
      <w:numFmt w:val="none"/>
      <w:suff w:val="nothing"/>
      <w:lvlText w:val=""/>
      <w:lvlJc w:val="left"/>
      <w:pPr>
        <w:ind w:left="547" w:firstLine="0"/>
      </w:pPr>
      <w:rPr>
        <w:rFonts w:hint="default"/>
      </w:rPr>
    </w:lvl>
    <w:lvl w:ilvl="5">
      <w:start w:val="1"/>
      <w:numFmt w:val="none"/>
      <w:suff w:val="nothing"/>
      <w:lvlText w:val=""/>
      <w:lvlJc w:val="left"/>
      <w:pPr>
        <w:ind w:left="547" w:firstLine="0"/>
      </w:pPr>
      <w:rPr>
        <w:rFonts w:hint="default"/>
      </w:rPr>
    </w:lvl>
    <w:lvl w:ilvl="6">
      <w:start w:val="1"/>
      <w:numFmt w:val="none"/>
      <w:suff w:val="nothing"/>
      <w:lvlText w:val=""/>
      <w:lvlJc w:val="left"/>
      <w:pPr>
        <w:ind w:left="547" w:firstLine="0"/>
      </w:pPr>
      <w:rPr>
        <w:rFonts w:hint="default"/>
      </w:rPr>
    </w:lvl>
    <w:lvl w:ilvl="7">
      <w:start w:val="1"/>
      <w:numFmt w:val="none"/>
      <w:suff w:val="nothing"/>
      <w:lvlText w:val=""/>
      <w:lvlJc w:val="left"/>
      <w:pPr>
        <w:ind w:left="547" w:firstLine="0"/>
      </w:pPr>
      <w:rPr>
        <w:rFonts w:hint="default"/>
      </w:rPr>
    </w:lvl>
    <w:lvl w:ilvl="8">
      <w:start w:val="1"/>
      <w:numFmt w:val="none"/>
      <w:suff w:val="nothing"/>
      <w:lvlText w:val=""/>
      <w:lvlJc w:val="left"/>
      <w:pPr>
        <w:ind w:left="547" w:firstLine="0"/>
      </w:pPr>
      <w:rPr>
        <w:rFonts w:hint="default"/>
      </w:rPr>
    </w:lvl>
  </w:abstractNum>
  <w:abstractNum w:abstractNumId="7" w15:restartNumberingAfterBreak="0">
    <w:nsid w:val="25AE2B55"/>
    <w:multiLevelType w:val="singleLevel"/>
    <w:tmpl w:val="D3B097DC"/>
    <w:lvl w:ilvl="0">
      <w:start w:val="1"/>
      <w:numFmt w:val="bullet"/>
      <w:lvlText w:val=""/>
      <w:lvlJc w:val="left"/>
      <w:pPr>
        <w:tabs>
          <w:tab w:val="num" w:pos="1080"/>
        </w:tabs>
        <w:ind w:left="360" w:firstLine="360"/>
      </w:pPr>
      <w:rPr>
        <w:rFonts w:ascii="Wingdings" w:hAnsi="Wingdings" w:hint="default"/>
        <w:sz w:val="20"/>
      </w:rPr>
    </w:lvl>
  </w:abstractNum>
  <w:abstractNum w:abstractNumId="8" w15:restartNumberingAfterBreak="0">
    <w:nsid w:val="2A9E191F"/>
    <w:multiLevelType w:val="singleLevel"/>
    <w:tmpl w:val="794E06B8"/>
    <w:lvl w:ilvl="0">
      <w:start w:val="1"/>
      <w:numFmt w:val="decimal"/>
      <w:pStyle w:val="ListNumber"/>
      <w:lvlText w:val="%1."/>
      <w:lvlJc w:val="left"/>
      <w:pPr>
        <w:tabs>
          <w:tab w:val="num" w:pos="2160"/>
        </w:tabs>
        <w:ind w:left="1800" w:hanging="360"/>
      </w:pPr>
      <w:rPr>
        <w:rFonts w:cs="Times New Roman"/>
      </w:rPr>
    </w:lvl>
  </w:abstractNum>
  <w:abstractNum w:abstractNumId="9" w15:restartNumberingAfterBreak="0">
    <w:nsid w:val="3D1C15FC"/>
    <w:multiLevelType w:val="hybridMultilevel"/>
    <w:tmpl w:val="4B42A932"/>
    <w:lvl w:ilvl="0" w:tplc="B502828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3B255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22A08C2"/>
    <w:multiLevelType w:val="singleLevel"/>
    <w:tmpl w:val="6D6ADCF8"/>
    <w:lvl w:ilvl="0">
      <w:start w:val="1"/>
      <w:numFmt w:val="bullet"/>
      <w:lvlText w:val=""/>
      <w:lvlJc w:val="left"/>
      <w:pPr>
        <w:tabs>
          <w:tab w:val="num" w:pos="1440"/>
        </w:tabs>
        <w:ind w:left="1440" w:hanging="360"/>
      </w:pPr>
      <w:rPr>
        <w:rFonts w:ascii="Symbol" w:hAnsi="Symbol" w:hint="default"/>
        <w:b/>
        <w:i w:val="0"/>
        <w:sz w:val="24"/>
      </w:rPr>
    </w:lvl>
  </w:abstractNum>
  <w:abstractNum w:abstractNumId="12" w15:restartNumberingAfterBreak="0">
    <w:nsid w:val="43AB2763"/>
    <w:multiLevelType w:val="hybridMultilevel"/>
    <w:tmpl w:val="4940B3C0"/>
    <w:lvl w:ilvl="0" w:tplc="CB96E7D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147C2D"/>
    <w:multiLevelType w:val="hybridMultilevel"/>
    <w:tmpl w:val="37BC8DBA"/>
    <w:lvl w:ilvl="0" w:tplc="66564D44">
      <w:start w:val="1"/>
      <w:numFmt w:val="bullet"/>
      <w:pStyle w:val="BulletTw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F72F0"/>
    <w:multiLevelType w:val="singleLevel"/>
    <w:tmpl w:val="D86060AC"/>
    <w:lvl w:ilvl="0">
      <w:start w:val="1"/>
      <w:numFmt w:val="decimal"/>
      <w:lvlText w:val="%1."/>
      <w:lvlJc w:val="left"/>
      <w:pPr>
        <w:tabs>
          <w:tab w:val="num" w:pos="720"/>
        </w:tabs>
        <w:ind w:left="360" w:hanging="360"/>
      </w:pPr>
      <w:rPr>
        <w:rFonts w:cs="Times New Roman"/>
      </w:rPr>
    </w:lvl>
  </w:abstractNum>
  <w:abstractNum w:abstractNumId="15" w15:restartNumberingAfterBreak="0">
    <w:nsid w:val="5ECE5BAF"/>
    <w:multiLevelType w:val="multilevel"/>
    <w:tmpl w:val="5BECFE40"/>
    <w:lvl w:ilvl="0">
      <w:start w:val="1"/>
      <w:numFmt w:val="decimal"/>
      <w:pStyle w:val="FigureNumber"/>
      <w:suff w:val="space"/>
      <w:lvlText w:val="Obrázok %1."/>
      <w:lvlJc w:val="left"/>
      <w:pPr>
        <w:ind w:left="432" w:hanging="432"/>
      </w:pPr>
      <w:rPr>
        <w:rFonts w:ascii="Arial Narrow" w:hAnsi="Arial Narrow" w:hint="default"/>
        <w:b/>
        <w:i w:val="0"/>
        <w:sz w:val="1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0F44B68"/>
    <w:multiLevelType w:val="hybridMultilevel"/>
    <w:tmpl w:val="7EC6DE80"/>
    <w:lvl w:ilvl="0" w:tplc="5FCC92B4">
      <w:start w:val="1"/>
      <w:numFmt w:val="decimal"/>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E72B2F"/>
    <w:multiLevelType w:val="multilevel"/>
    <w:tmpl w:val="0C44E764"/>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A6A40A0"/>
    <w:multiLevelType w:val="hybridMultilevel"/>
    <w:tmpl w:val="77B4D2E8"/>
    <w:lvl w:ilvl="0" w:tplc="94785984">
      <w:start w:val="1"/>
      <w:numFmt w:val="bullet"/>
      <w:pStyle w:val="BulletOne"/>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95AE0"/>
    <w:multiLevelType w:val="hybridMultilevel"/>
    <w:tmpl w:val="2F3C8022"/>
    <w:lvl w:ilvl="0" w:tplc="0B4238A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7375630"/>
    <w:multiLevelType w:val="singleLevel"/>
    <w:tmpl w:val="097C33B4"/>
    <w:lvl w:ilvl="0">
      <w:start w:val="1"/>
      <w:numFmt w:val="bullet"/>
      <w:lvlText w:val=""/>
      <w:lvlJc w:val="left"/>
      <w:pPr>
        <w:tabs>
          <w:tab w:val="num" w:pos="360"/>
        </w:tabs>
        <w:ind w:left="360" w:hanging="360"/>
      </w:pPr>
      <w:rPr>
        <w:rFonts w:ascii="Wingdings" w:hAnsi="Wingdings" w:hint="default"/>
        <w:b/>
        <w:i w:val="0"/>
        <w:color w:val="auto"/>
        <w:sz w:val="28"/>
      </w:rPr>
    </w:lvl>
  </w:abstractNum>
  <w:num w:numId="1" w16cid:durableId="473255739">
    <w:abstractNumId w:val="3"/>
  </w:num>
  <w:num w:numId="2" w16cid:durableId="378864865">
    <w:abstractNumId w:val="7"/>
  </w:num>
  <w:num w:numId="3" w16cid:durableId="644698718">
    <w:abstractNumId w:val="11"/>
  </w:num>
  <w:num w:numId="4" w16cid:durableId="1610120674">
    <w:abstractNumId w:val="14"/>
    <w:lvlOverride w:ilvl="0">
      <w:startOverride w:val="1"/>
    </w:lvlOverride>
  </w:num>
  <w:num w:numId="5" w16cid:durableId="743599677">
    <w:abstractNumId w:val="8"/>
    <w:lvlOverride w:ilvl="0">
      <w:startOverride w:val="1"/>
    </w:lvlOverride>
  </w:num>
  <w:num w:numId="6" w16cid:durableId="1970699618">
    <w:abstractNumId w:val="2"/>
  </w:num>
  <w:num w:numId="7" w16cid:durableId="756945610">
    <w:abstractNumId w:val="10"/>
  </w:num>
  <w:num w:numId="8" w16cid:durableId="481695794">
    <w:abstractNumId w:val="4"/>
  </w:num>
  <w:num w:numId="9" w16cid:durableId="761875531">
    <w:abstractNumId w:val="5"/>
  </w:num>
  <w:num w:numId="10" w16cid:durableId="1182816766">
    <w:abstractNumId w:val="16"/>
  </w:num>
  <w:num w:numId="11" w16cid:durableId="1527983528">
    <w:abstractNumId w:val="16"/>
    <w:lvlOverride w:ilvl="0">
      <w:startOverride w:val="1"/>
    </w:lvlOverride>
  </w:num>
  <w:num w:numId="12" w16cid:durableId="1825926106">
    <w:abstractNumId w:val="15"/>
  </w:num>
  <w:num w:numId="13" w16cid:durableId="1855874284">
    <w:abstractNumId w:val="13"/>
  </w:num>
  <w:num w:numId="14" w16cid:durableId="1783187543">
    <w:abstractNumId w:val="18"/>
  </w:num>
  <w:num w:numId="15" w16cid:durableId="758404008">
    <w:abstractNumId w:val="13"/>
  </w:num>
  <w:num w:numId="16" w16cid:durableId="1633750067">
    <w:abstractNumId w:val="15"/>
  </w:num>
  <w:num w:numId="17" w16cid:durableId="1764451687">
    <w:abstractNumId w:val="16"/>
  </w:num>
  <w:num w:numId="18" w16cid:durableId="1424573007">
    <w:abstractNumId w:val="6"/>
  </w:num>
  <w:num w:numId="19" w16cid:durableId="1483080431">
    <w:abstractNumId w:val="19"/>
  </w:num>
  <w:num w:numId="20" w16cid:durableId="217018428">
    <w:abstractNumId w:val="9"/>
  </w:num>
  <w:num w:numId="21" w16cid:durableId="560752367">
    <w:abstractNumId w:val="16"/>
    <w:lvlOverride w:ilvl="0">
      <w:startOverride w:val="1"/>
    </w:lvlOverride>
  </w:num>
  <w:num w:numId="22" w16cid:durableId="1079137691">
    <w:abstractNumId w:val="16"/>
    <w:lvlOverride w:ilvl="0">
      <w:startOverride w:val="1"/>
    </w:lvlOverride>
  </w:num>
  <w:num w:numId="23" w16cid:durableId="224224104">
    <w:abstractNumId w:val="16"/>
    <w:lvlOverride w:ilvl="0">
      <w:startOverride w:val="1"/>
    </w:lvlOverride>
  </w:num>
  <w:num w:numId="24" w16cid:durableId="1361468664">
    <w:abstractNumId w:val="16"/>
    <w:lvlOverride w:ilvl="0">
      <w:startOverride w:val="1"/>
    </w:lvlOverride>
  </w:num>
  <w:num w:numId="25" w16cid:durableId="1104378289">
    <w:abstractNumId w:val="16"/>
    <w:lvlOverride w:ilvl="0">
      <w:startOverride w:val="1"/>
    </w:lvlOverride>
  </w:num>
  <w:num w:numId="26" w16cid:durableId="1949579895">
    <w:abstractNumId w:val="16"/>
    <w:lvlOverride w:ilvl="0">
      <w:startOverride w:val="1"/>
    </w:lvlOverride>
  </w:num>
  <w:num w:numId="27" w16cid:durableId="1259564950">
    <w:abstractNumId w:val="17"/>
  </w:num>
  <w:num w:numId="28" w16cid:durableId="187330946">
    <w:abstractNumId w:val="12"/>
  </w:num>
  <w:num w:numId="29" w16cid:durableId="767892987">
    <w:abstractNumId w:val="1"/>
  </w:num>
  <w:num w:numId="30" w16cid:durableId="1003971062">
    <w:abstractNumId w:val="1"/>
    <w:lvlOverride w:ilvl="0">
      <w:startOverride w:val="1"/>
    </w:lvlOverride>
  </w:num>
  <w:num w:numId="31" w16cid:durableId="1325814706">
    <w:abstractNumId w:val="1"/>
    <w:lvlOverride w:ilvl="0">
      <w:startOverride w:val="1"/>
    </w:lvlOverride>
  </w:num>
  <w:num w:numId="32" w16cid:durableId="1611474727">
    <w:abstractNumId w:val="1"/>
    <w:lvlOverride w:ilvl="0">
      <w:startOverride w:val="1"/>
    </w:lvlOverride>
  </w:num>
  <w:num w:numId="33" w16cid:durableId="327051832">
    <w:abstractNumId w:val="1"/>
    <w:lvlOverride w:ilvl="0">
      <w:startOverride w:val="1"/>
    </w:lvlOverride>
  </w:num>
  <w:num w:numId="34" w16cid:durableId="1789202712">
    <w:abstractNumId w:val="0"/>
  </w:num>
  <w:num w:numId="35" w16cid:durableId="298344759">
    <w:abstractNumId w:val="20"/>
  </w:num>
  <w:num w:numId="36" w16cid:durableId="2128161763">
    <w:abstractNumId w:val="1"/>
    <w:lvlOverride w:ilvl="0">
      <w:startOverride w:val="1"/>
    </w:lvlOverride>
  </w:num>
  <w:num w:numId="37" w16cid:durableId="1713773172">
    <w:abstractNumId w:val="1"/>
    <w:lvlOverride w:ilvl="0">
      <w:startOverride w:val="1"/>
    </w:lvlOverride>
  </w:num>
  <w:num w:numId="38" w16cid:durableId="1422068413">
    <w:abstractNumId w:val="1"/>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EF"/>
    <w:rsid w:val="00001B42"/>
    <w:rsid w:val="0000256E"/>
    <w:rsid w:val="00005967"/>
    <w:rsid w:val="00013811"/>
    <w:rsid w:val="00021A1F"/>
    <w:rsid w:val="00022E7E"/>
    <w:rsid w:val="0002389A"/>
    <w:rsid w:val="000300CD"/>
    <w:rsid w:val="00032C4C"/>
    <w:rsid w:val="00034899"/>
    <w:rsid w:val="00036DED"/>
    <w:rsid w:val="00040F18"/>
    <w:rsid w:val="00044470"/>
    <w:rsid w:val="000531DC"/>
    <w:rsid w:val="00053DB5"/>
    <w:rsid w:val="00055F6F"/>
    <w:rsid w:val="00057CAB"/>
    <w:rsid w:val="000707D4"/>
    <w:rsid w:val="00081C6B"/>
    <w:rsid w:val="000A5581"/>
    <w:rsid w:val="000B29A2"/>
    <w:rsid w:val="000B635E"/>
    <w:rsid w:val="000C2505"/>
    <w:rsid w:val="000D197F"/>
    <w:rsid w:val="000D3B00"/>
    <w:rsid w:val="000D6537"/>
    <w:rsid w:val="000F036D"/>
    <w:rsid w:val="00100C2A"/>
    <w:rsid w:val="00117A7E"/>
    <w:rsid w:val="00120149"/>
    <w:rsid w:val="00123819"/>
    <w:rsid w:val="0012499E"/>
    <w:rsid w:val="00143A7E"/>
    <w:rsid w:val="00143CDB"/>
    <w:rsid w:val="00144AFE"/>
    <w:rsid w:val="00152494"/>
    <w:rsid w:val="00157F13"/>
    <w:rsid w:val="00161949"/>
    <w:rsid w:val="00170365"/>
    <w:rsid w:val="00180547"/>
    <w:rsid w:val="00180F87"/>
    <w:rsid w:val="0018475F"/>
    <w:rsid w:val="001870F8"/>
    <w:rsid w:val="00190353"/>
    <w:rsid w:val="001A74CD"/>
    <w:rsid w:val="001B16DA"/>
    <w:rsid w:val="001C56A9"/>
    <w:rsid w:val="001C70C7"/>
    <w:rsid w:val="001E3362"/>
    <w:rsid w:val="001E415F"/>
    <w:rsid w:val="00211825"/>
    <w:rsid w:val="00220FB4"/>
    <w:rsid w:val="002211CA"/>
    <w:rsid w:val="002369B1"/>
    <w:rsid w:val="002375C0"/>
    <w:rsid w:val="00241EA6"/>
    <w:rsid w:val="00243252"/>
    <w:rsid w:val="002433D1"/>
    <w:rsid w:val="00243D5D"/>
    <w:rsid w:val="00250CD5"/>
    <w:rsid w:val="002576FD"/>
    <w:rsid w:val="00257812"/>
    <w:rsid w:val="00281A52"/>
    <w:rsid w:val="00282094"/>
    <w:rsid w:val="00282D0E"/>
    <w:rsid w:val="00283147"/>
    <w:rsid w:val="002869AE"/>
    <w:rsid w:val="00290650"/>
    <w:rsid w:val="0029224F"/>
    <w:rsid w:val="002A6265"/>
    <w:rsid w:val="002A7A34"/>
    <w:rsid w:val="002B31C3"/>
    <w:rsid w:val="002C1F59"/>
    <w:rsid w:val="002C6DB6"/>
    <w:rsid w:val="002C7FF8"/>
    <w:rsid w:val="002D1EB4"/>
    <w:rsid w:val="002E4AE6"/>
    <w:rsid w:val="002E5715"/>
    <w:rsid w:val="002F59A4"/>
    <w:rsid w:val="002F766D"/>
    <w:rsid w:val="00310CD2"/>
    <w:rsid w:val="00311B1B"/>
    <w:rsid w:val="0031319D"/>
    <w:rsid w:val="0032261E"/>
    <w:rsid w:val="00327885"/>
    <w:rsid w:val="00336B0B"/>
    <w:rsid w:val="00336C38"/>
    <w:rsid w:val="00337FF6"/>
    <w:rsid w:val="00340123"/>
    <w:rsid w:val="00351BD7"/>
    <w:rsid w:val="00352062"/>
    <w:rsid w:val="003648BD"/>
    <w:rsid w:val="00367F8E"/>
    <w:rsid w:val="00370037"/>
    <w:rsid w:val="00381250"/>
    <w:rsid w:val="00382F8E"/>
    <w:rsid w:val="003851C2"/>
    <w:rsid w:val="003A62AE"/>
    <w:rsid w:val="003A770E"/>
    <w:rsid w:val="003B14AD"/>
    <w:rsid w:val="003C4F15"/>
    <w:rsid w:val="003D6305"/>
    <w:rsid w:val="003E6B0D"/>
    <w:rsid w:val="003F04F6"/>
    <w:rsid w:val="004041E1"/>
    <w:rsid w:val="00407BF5"/>
    <w:rsid w:val="0041044B"/>
    <w:rsid w:val="004249EC"/>
    <w:rsid w:val="00426909"/>
    <w:rsid w:val="00426B15"/>
    <w:rsid w:val="00443B64"/>
    <w:rsid w:val="00443CB7"/>
    <w:rsid w:val="004449C0"/>
    <w:rsid w:val="004469DE"/>
    <w:rsid w:val="00451BB7"/>
    <w:rsid w:val="00453876"/>
    <w:rsid w:val="004542F4"/>
    <w:rsid w:val="0046042D"/>
    <w:rsid w:val="00466A35"/>
    <w:rsid w:val="0048142F"/>
    <w:rsid w:val="0048230C"/>
    <w:rsid w:val="00485A30"/>
    <w:rsid w:val="00487CAD"/>
    <w:rsid w:val="00492DC0"/>
    <w:rsid w:val="004943D4"/>
    <w:rsid w:val="004969AC"/>
    <w:rsid w:val="004A4167"/>
    <w:rsid w:val="004B10CC"/>
    <w:rsid w:val="004C1C72"/>
    <w:rsid w:val="004F1539"/>
    <w:rsid w:val="004F436F"/>
    <w:rsid w:val="004F45A8"/>
    <w:rsid w:val="004F6B0F"/>
    <w:rsid w:val="00500C74"/>
    <w:rsid w:val="00500E39"/>
    <w:rsid w:val="00504E9E"/>
    <w:rsid w:val="00514A41"/>
    <w:rsid w:val="00514B05"/>
    <w:rsid w:val="00517B7C"/>
    <w:rsid w:val="005603F0"/>
    <w:rsid w:val="005A1224"/>
    <w:rsid w:val="005A27EC"/>
    <w:rsid w:val="005A6488"/>
    <w:rsid w:val="005B5D25"/>
    <w:rsid w:val="005B6066"/>
    <w:rsid w:val="005C1CD8"/>
    <w:rsid w:val="005C2F62"/>
    <w:rsid w:val="005D6B24"/>
    <w:rsid w:val="005F373D"/>
    <w:rsid w:val="005F6FF4"/>
    <w:rsid w:val="00601A8D"/>
    <w:rsid w:val="00602872"/>
    <w:rsid w:val="00604518"/>
    <w:rsid w:val="006045B3"/>
    <w:rsid w:val="00604B2F"/>
    <w:rsid w:val="00605960"/>
    <w:rsid w:val="00612303"/>
    <w:rsid w:val="00613F8E"/>
    <w:rsid w:val="0062119D"/>
    <w:rsid w:val="00632460"/>
    <w:rsid w:val="00656BCB"/>
    <w:rsid w:val="00661BDF"/>
    <w:rsid w:val="006839CD"/>
    <w:rsid w:val="006863A1"/>
    <w:rsid w:val="00692439"/>
    <w:rsid w:val="0069370F"/>
    <w:rsid w:val="0069588A"/>
    <w:rsid w:val="006C48F0"/>
    <w:rsid w:val="006D392B"/>
    <w:rsid w:val="006E32E1"/>
    <w:rsid w:val="006E7569"/>
    <w:rsid w:val="006F1497"/>
    <w:rsid w:val="006F3503"/>
    <w:rsid w:val="006F5B1B"/>
    <w:rsid w:val="006F7DFD"/>
    <w:rsid w:val="00704970"/>
    <w:rsid w:val="00706961"/>
    <w:rsid w:val="007104C2"/>
    <w:rsid w:val="00711F96"/>
    <w:rsid w:val="00724885"/>
    <w:rsid w:val="007339B3"/>
    <w:rsid w:val="007360F0"/>
    <w:rsid w:val="00746BAC"/>
    <w:rsid w:val="00763F8A"/>
    <w:rsid w:val="007649FF"/>
    <w:rsid w:val="007825DF"/>
    <w:rsid w:val="00782BD8"/>
    <w:rsid w:val="00784DFC"/>
    <w:rsid w:val="0078530D"/>
    <w:rsid w:val="00787F5A"/>
    <w:rsid w:val="007947D4"/>
    <w:rsid w:val="007A27DF"/>
    <w:rsid w:val="007A6E71"/>
    <w:rsid w:val="007B11C2"/>
    <w:rsid w:val="007B1E8A"/>
    <w:rsid w:val="007B2363"/>
    <w:rsid w:val="007B2CFB"/>
    <w:rsid w:val="007B33F6"/>
    <w:rsid w:val="007B75D7"/>
    <w:rsid w:val="007C4E60"/>
    <w:rsid w:val="007D0FE7"/>
    <w:rsid w:val="007F0BF5"/>
    <w:rsid w:val="007F136F"/>
    <w:rsid w:val="008015E5"/>
    <w:rsid w:val="008057A1"/>
    <w:rsid w:val="00816E01"/>
    <w:rsid w:val="00865EF1"/>
    <w:rsid w:val="00874995"/>
    <w:rsid w:val="00875565"/>
    <w:rsid w:val="00877AD7"/>
    <w:rsid w:val="00877E8E"/>
    <w:rsid w:val="00880E39"/>
    <w:rsid w:val="008851EF"/>
    <w:rsid w:val="00886C66"/>
    <w:rsid w:val="00886F6D"/>
    <w:rsid w:val="00890BAF"/>
    <w:rsid w:val="00891F1F"/>
    <w:rsid w:val="008A0252"/>
    <w:rsid w:val="008A3830"/>
    <w:rsid w:val="008A3837"/>
    <w:rsid w:val="008A605A"/>
    <w:rsid w:val="008A63E0"/>
    <w:rsid w:val="008B3479"/>
    <w:rsid w:val="008B57D0"/>
    <w:rsid w:val="008C0F03"/>
    <w:rsid w:val="008C16F6"/>
    <w:rsid w:val="008C1719"/>
    <w:rsid w:val="008D357C"/>
    <w:rsid w:val="008E4E26"/>
    <w:rsid w:val="008F4B8B"/>
    <w:rsid w:val="009048AA"/>
    <w:rsid w:val="00905687"/>
    <w:rsid w:val="00920A7C"/>
    <w:rsid w:val="00932903"/>
    <w:rsid w:val="00933225"/>
    <w:rsid w:val="00933AD1"/>
    <w:rsid w:val="00942BD7"/>
    <w:rsid w:val="009465B0"/>
    <w:rsid w:val="00951133"/>
    <w:rsid w:val="00966929"/>
    <w:rsid w:val="00976B50"/>
    <w:rsid w:val="00996D15"/>
    <w:rsid w:val="009A67C9"/>
    <w:rsid w:val="009B16F1"/>
    <w:rsid w:val="009C3701"/>
    <w:rsid w:val="009D4ABB"/>
    <w:rsid w:val="009D7861"/>
    <w:rsid w:val="009E2DF3"/>
    <w:rsid w:val="009E3429"/>
    <w:rsid w:val="00A021F4"/>
    <w:rsid w:val="00A06C98"/>
    <w:rsid w:val="00A127F5"/>
    <w:rsid w:val="00A1436B"/>
    <w:rsid w:val="00A14E19"/>
    <w:rsid w:val="00A167B7"/>
    <w:rsid w:val="00A2576A"/>
    <w:rsid w:val="00A3137A"/>
    <w:rsid w:val="00A429CC"/>
    <w:rsid w:val="00A50101"/>
    <w:rsid w:val="00A7102D"/>
    <w:rsid w:val="00A72222"/>
    <w:rsid w:val="00A7736F"/>
    <w:rsid w:val="00A8650B"/>
    <w:rsid w:val="00A86828"/>
    <w:rsid w:val="00A97012"/>
    <w:rsid w:val="00A97530"/>
    <w:rsid w:val="00AA0F19"/>
    <w:rsid w:val="00AA3377"/>
    <w:rsid w:val="00AA53DB"/>
    <w:rsid w:val="00AB2B5A"/>
    <w:rsid w:val="00AB76E9"/>
    <w:rsid w:val="00AC0126"/>
    <w:rsid w:val="00AC29C6"/>
    <w:rsid w:val="00AC7011"/>
    <w:rsid w:val="00AD081E"/>
    <w:rsid w:val="00AD2ECF"/>
    <w:rsid w:val="00AD6BDF"/>
    <w:rsid w:val="00AE7B16"/>
    <w:rsid w:val="00AF195E"/>
    <w:rsid w:val="00AF23D8"/>
    <w:rsid w:val="00B0066E"/>
    <w:rsid w:val="00B12264"/>
    <w:rsid w:val="00B14A6E"/>
    <w:rsid w:val="00B20612"/>
    <w:rsid w:val="00B258CB"/>
    <w:rsid w:val="00B25FD4"/>
    <w:rsid w:val="00B349C6"/>
    <w:rsid w:val="00B40A9F"/>
    <w:rsid w:val="00B4418B"/>
    <w:rsid w:val="00B52F6D"/>
    <w:rsid w:val="00B53D37"/>
    <w:rsid w:val="00B567D9"/>
    <w:rsid w:val="00B57164"/>
    <w:rsid w:val="00B622B8"/>
    <w:rsid w:val="00B6368C"/>
    <w:rsid w:val="00B742CD"/>
    <w:rsid w:val="00B77C18"/>
    <w:rsid w:val="00B81EE9"/>
    <w:rsid w:val="00B840D9"/>
    <w:rsid w:val="00B84B84"/>
    <w:rsid w:val="00B971AB"/>
    <w:rsid w:val="00BC2A2B"/>
    <w:rsid w:val="00BC452F"/>
    <w:rsid w:val="00BD66CB"/>
    <w:rsid w:val="00BE4207"/>
    <w:rsid w:val="00BE6ABF"/>
    <w:rsid w:val="00BF50D6"/>
    <w:rsid w:val="00BF5C10"/>
    <w:rsid w:val="00C05D2F"/>
    <w:rsid w:val="00C129D2"/>
    <w:rsid w:val="00C13273"/>
    <w:rsid w:val="00C22E4E"/>
    <w:rsid w:val="00C266BB"/>
    <w:rsid w:val="00C34E01"/>
    <w:rsid w:val="00C35904"/>
    <w:rsid w:val="00C4611A"/>
    <w:rsid w:val="00C51386"/>
    <w:rsid w:val="00C60062"/>
    <w:rsid w:val="00C601BE"/>
    <w:rsid w:val="00C658DF"/>
    <w:rsid w:val="00C6648F"/>
    <w:rsid w:val="00C772A8"/>
    <w:rsid w:val="00C90FA4"/>
    <w:rsid w:val="00CA5486"/>
    <w:rsid w:val="00CA66B8"/>
    <w:rsid w:val="00CB2E26"/>
    <w:rsid w:val="00CB34D3"/>
    <w:rsid w:val="00CC5DF4"/>
    <w:rsid w:val="00CC6DD3"/>
    <w:rsid w:val="00CD19E9"/>
    <w:rsid w:val="00CE06F0"/>
    <w:rsid w:val="00CE3675"/>
    <w:rsid w:val="00CF5C72"/>
    <w:rsid w:val="00CF6C98"/>
    <w:rsid w:val="00D06527"/>
    <w:rsid w:val="00D06E21"/>
    <w:rsid w:val="00D2030B"/>
    <w:rsid w:val="00D25E80"/>
    <w:rsid w:val="00D31C35"/>
    <w:rsid w:val="00D43716"/>
    <w:rsid w:val="00D46C13"/>
    <w:rsid w:val="00D476E0"/>
    <w:rsid w:val="00D7404F"/>
    <w:rsid w:val="00D82592"/>
    <w:rsid w:val="00D878CB"/>
    <w:rsid w:val="00DA6378"/>
    <w:rsid w:val="00DB123C"/>
    <w:rsid w:val="00DB5CF0"/>
    <w:rsid w:val="00DC15F5"/>
    <w:rsid w:val="00DC3A16"/>
    <w:rsid w:val="00DD3140"/>
    <w:rsid w:val="00DD5D5D"/>
    <w:rsid w:val="00DE5F1C"/>
    <w:rsid w:val="00DE7E10"/>
    <w:rsid w:val="00DF35FC"/>
    <w:rsid w:val="00E00CBA"/>
    <w:rsid w:val="00E03736"/>
    <w:rsid w:val="00E24F4D"/>
    <w:rsid w:val="00E356BD"/>
    <w:rsid w:val="00E41D88"/>
    <w:rsid w:val="00E5150F"/>
    <w:rsid w:val="00E524AE"/>
    <w:rsid w:val="00E5286E"/>
    <w:rsid w:val="00E56B6C"/>
    <w:rsid w:val="00E56CCF"/>
    <w:rsid w:val="00E60B8B"/>
    <w:rsid w:val="00E668A4"/>
    <w:rsid w:val="00E7228B"/>
    <w:rsid w:val="00E864D8"/>
    <w:rsid w:val="00E94E79"/>
    <w:rsid w:val="00E9677E"/>
    <w:rsid w:val="00EA0C4F"/>
    <w:rsid w:val="00EB1B69"/>
    <w:rsid w:val="00EB3E69"/>
    <w:rsid w:val="00EB5EFC"/>
    <w:rsid w:val="00EB7472"/>
    <w:rsid w:val="00EC5B63"/>
    <w:rsid w:val="00ED5DD3"/>
    <w:rsid w:val="00ED7039"/>
    <w:rsid w:val="00EF00D5"/>
    <w:rsid w:val="00EF0706"/>
    <w:rsid w:val="00EF7045"/>
    <w:rsid w:val="00F00AB2"/>
    <w:rsid w:val="00F03C47"/>
    <w:rsid w:val="00F07872"/>
    <w:rsid w:val="00F10DEC"/>
    <w:rsid w:val="00F20EFC"/>
    <w:rsid w:val="00F3006E"/>
    <w:rsid w:val="00F37413"/>
    <w:rsid w:val="00F42C5E"/>
    <w:rsid w:val="00F431C7"/>
    <w:rsid w:val="00F475B8"/>
    <w:rsid w:val="00F62B9D"/>
    <w:rsid w:val="00F878B0"/>
    <w:rsid w:val="00F96698"/>
    <w:rsid w:val="00FA758B"/>
    <w:rsid w:val="00FA7B56"/>
    <w:rsid w:val="00FB436B"/>
    <w:rsid w:val="00FB57C4"/>
    <w:rsid w:val="00FD581C"/>
    <w:rsid w:val="00FD6324"/>
    <w:rsid w:val="00FD68BD"/>
    <w:rsid w:val="00FE386C"/>
    <w:rsid w:val="00FF43CF"/>
    <w:rsid w:val="00FF76CA"/>
    <w:rsid w:val="00FF7C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F7327DD"/>
  <w15:docId w15:val="{2EAFC44D-D4AC-477E-BEA2-6C67EA0A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locked="0"/>
    <w:lsdException w:name="Table Theme" w:locked="0"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BE6ABF"/>
    <w:pPr>
      <w:spacing w:before="40" w:after="40"/>
    </w:pPr>
    <w:rPr>
      <w:rFonts w:ascii="Arial Narrow" w:eastAsia="SimSun" w:hAnsi="Arial Narrow"/>
      <w:sz w:val="16"/>
      <w:lang w:eastAsia="zh-CN"/>
    </w:rPr>
  </w:style>
  <w:style w:type="paragraph" w:styleId="Heading1">
    <w:name w:val="heading 1"/>
    <w:basedOn w:val="BodyText"/>
    <w:next w:val="BodyText"/>
    <w:link w:val="Heading1Char"/>
    <w:qFormat/>
    <w:rsid w:val="00DD5D5D"/>
    <w:pPr>
      <w:keepNext/>
      <w:spacing w:before="120" w:after="60"/>
      <w:outlineLvl w:val="0"/>
    </w:pPr>
    <w:rPr>
      <w:rFonts w:ascii="Arial" w:hAnsi="Arial"/>
      <w:b/>
      <w:caps/>
      <w:kern w:val="28"/>
    </w:rPr>
  </w:style>
  <w:style w:type="paragraph" w:styleId="Heading2">
    <w:name w:val="heading 2"/>
    <w:basedOn w:val="BodyText"/>
    <w:next w:val="BodyText"/>
    <w:link w:val="Heading2Char"/>
    <w:qFormat/>
    <w:rsid w:val="00190353"/>
    <w:pPr>
      <w:keepNext/>
      <w:spacing w:before="60" w:after="60"/>
      <w:outlineLvl w:val="1"/>
    </w:pPr>
    <w:rPr>
      <w:rFonts w:ascii="Arial" w:hAnsi="Arial"/>
      <w:b/>
    </w:rPr>
  </w:style>
  <w:style w:type="paragraph" w:styleId="Heading3">
    <w:name w:val="heading 3"/>
    <w:basedOn w:val="BodyText"/>
    <w:next w:val="BodyText"/>
    <w:link w:val="Heading3Char"/>
    <w:qFormat/>
    <w:rsid w:val="00190353"/>
    <w:pPr>
      <w:keepNext/>
      <w:tabs>
        <w:tab w:val="left" w:pos="360"/>
      </w:tabs>
      <w:outlineLvl w:val="2"/>
    </w:pPr>
    <w:rPr>
      <w:b/>
    </w:rPr>
  </w:style>
  <w:style w:type="paragraph" w:styleId="Heading4">
    <w:name w:val="heading 4"/>
    <w:basedOn w:val="Heading3"/>
    <w:next w:val="BodyText"/>
    <w:link w:val="Heading4Char"/>
    <w:locked/>
    <w:pPr>
      <w:numPr>
        <w:ilvl w:val="3"/>
      </w:numPr>
      <w:tabs>
        <w:tab w:val="clear" w:pos="360"/>
      </w:tabs>
      <w:outlineLvl w:val="3"/>
    </w:pPr>
    <w:rPr>
      <w:i/>
    </w:rPr>
  </w:style>
  <w:style w:type="paragraph" w:styleId="Heading5">
    <w:name w:val="heading 5"/>
    <w:basedOn w:val="Heading4"/>
    <w:next w:val="Normal"/>
    <w:link w:val="Heading5Char"/>
    <w:locked/>
    <w:pPr>
      <w:numPr>
        <w:ilvl w:val="4"/>
      </w:numPr>
      <w:outlineLvl w:val="4"/>
    </w:pPr>
    <w:rPr>
      <w:b w:val="0"/>
    </w:rPr>
  </w:style>
  <w:style w:type="paragraph" w:styleId="Heading6">
    <w:name w:val="heading 6"/>
    <w:basedOn w:val="Normal"/>
    <w:next w:val="Normal"/>
    <w:link w:val="Heading6Char"/>
    <w:locked/>
    <w:pPr>
      <w:spacing w:before="240" w:after="60"/>
      <w:outlineLvl w:val="5"/>
    </w:pPr>
    <w:rPr>
      <w:rFonts w:eastAsia="Times New Roman"/>
      <w:i/>
      <w:sz w:val="22"/>
      <w:lang w:eastAsia="en-US"/>
    </w:rPr>
  </w:style>
  <w:style w:type="paragraph" w:styleId="Heading7">
    <w:name w:val="heading 7"/>
    <w:basedOn w:val="Normal"/>
    <w:next w:val="Normal"/>
    <w:link w:val="Heading7Char"/>
    <w:locked/>
    <w:pPr>
      <w:spacing w:before="240" w:after="60"/>
      <w:outlineLvl w:val="6"/>
    </w:pPr>
    <w:rPr>
      <w:rFonts w:ascii="Arial" w:eastAsia="Times New Roman" w:hAnsi="Arial"/>
      <w:sz w:val="24"/>
      <w:lang w:eastAsia="en-US"/>
    </w:rPr>
  </w:style>
  <w:style w:type="paragraph" w:styleId="Heading8">
    <w:name w:val="heading 8"/>
    <w:basedOn w:val="Normal"/>
    <w:next w:val="Normal"/>
    <w:link w:val="Heading8Char"/>
    <w:locked/>
    <w:pPr>
      <w:spacing w:before="240" w:after="60"/>
      <w:outlineLvl w:val="7"/>
    </w:pPr>
    <w:rPr>
      <w:rFonts w:ascii="Arial" w:eastAsia="Times New Roman" w:hAnsi="Arial"/>
      <w:i/>
      <w:sz w:val="24"/>
      <w:lang w:eastAsia="en-US"/>
    </w:rPr>
  </w:style>
  <w:style w:type="paragraph" w:styleId="Heading9">
    <w:name w:val="heading 9"/>
    <w:basedOn w:val="Normal"/>
    <w:next w:val="Normal"/>
    <w:link w:val="Heading9Char"/>
    <w:locked/>
    <w:pPr>
      <w:spacing w:before="240" w:after="60"/>
      <w:outlineLvl w:val="8"/>
    </w:pPr>
    <w:rPr>
      <w:rFonts w:ascii="Arial" w:eastAsia="Times New Roman"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pPr>
      <w:snapToGrid w:val="0"/>
      <w:spacing w:before="40" w:after="40"/>
    </w:pPr>
    <w:rPr>
      <w:rFonts w:ascii="Arial Narrow" w:hAnsi="Arial Narrow"/>
      <w:sz w:val="16"/>
      <w:szCs w:val="16"/>
    </w:rPr>
  </w:style>
  <w:style w:type="paragraph" w:customStyle="1" w:styleId="TableNumberAuto">
    <w:name w:val="Table Number Auto"/>
    <w:basedOn w:val="BodyText"/>
    <w:qFormat/>
    <w:pPr>
      <w:keepNext/>
      <w:numPr>
        <w:numId w:val="18"/>
      </w:numPr>
      <w:tabs>
        <w:tab w:val="left" w:pos="630"/>
      </w:tabs>
    </w:pPr>
  </w:style>
  <w:style w:type="paragraph" w:styleId="Footer">
    <w:name w:val="footer"/>
    <w:basedOn w:val="BodyText"/>
    <w:link w:val="FooterChar"/>
    <w:pPr>
      <w:tabs>
        <w:tab w:val="center" w:pos="5040"/>
        <w:tab w:val="right" w:pos="10627"/>
      </w:tabs>
    </w:pPr>
  </w:style>
  <w:style w:type="numbering" w:styleId="111111">
    <w:name w:val="Outline List 2"/>
    <w:basedOn w:val="NoList"/>
    <w:semiHidden/>
    <w:locked/>
    <w:pPr>
      <w:numPr>
        <w:numId w:val="7"/>
      </w:numPr>
    </w:pPr>
  </w:style>
  <w:style w:type="paragraph" w:styleId="ListNumber">
    <w:name w:val="List Number"/>
    <w:basedOn w:val="Normal"/>
    <w:next w:val="ListContinue"/>
    <w:autoRedefine/>
    <w:semiHidden/>
    <w:locked/>
    <w:pPr>
      <w:numPr>
        <w:numId w:val="5"/>
      </w:numPr>
      <w:tabs>
        <w:tab w:val="left" w:pos="1800"/>
      </w:tabs>
      <w:spacing w:after="60"/>
      <w:jc w:val="both"/>
    </w:pPr>
    <w:rPr>
      <w:rFonts w:ascii="Arial" w:eastAsia="Times New Roman" w:hAnsi="Arial"/>
      <w:sz w:val="28"/>
      <w:lang w:eastAsia="en-US"/>
    </w:rPr>
  </w:style>
  <w:style w:type="paragraph" w:styleId="ListContinue">
    <w:name w:val="List Continue"/>
    <w:basedOn w:val="Normal"/>
    <w:semiHidden/>
    <w:locked/>
    <w:pPr>
      <w:spacing w:after="120"/>
      <w:ind w:left="360"/>
    </w:pPr>
    <w:rPr>
      <w:rFonts w:eastAsia="Times New Roman"/>
      <w:lang w:eastAsia="en-US"/>
    </w:rPr>
  </w:style>
  <w:style w:type="numbering" w:styleId="1ai">
    <w:name w:val="Outline List 1"/>
    <w:basedOn w:val="NoList"/>
    <w:semiHidden/>
    <w:locked/>
    <w:pPr>
      <w:numPr>
        <w:numId w:val="8"/>
      </w:numPr>
    </w:pPr>
  </w:style>
  <w:style w:type="paragraph" w:styleId="ListBullet3">
    <w:name w:val="List Bullet 3"/>
    <w:basedOn w:val="Normal"/>
    <w:autoRedefine/>
    <w:semiHidden/>
    <w:locked/>
    <w:pPr>
      <w:ind w:left="1800" w:hanging="360"/>
    </w:pPr>
    <w:rPr>
      <w:rFonts w:eastAsia="Times New Roman"/>
      <w:lang w:eastAsia="en-US"/>
    </w:rPr>
  </w:style>
  <w:style w:type="paragraph" w:styleId="ListBullet2">
    <w:name w:val="List Bullet 2"/>
    <w:basedOn w:val="Normal"/>
    <w:autoRedefine/>
    <w:semiHidden/>
    <w:locked/>
    <w:pPr>
      <w:ind w:left="1224" w:hanging="360"/>
    </w:pPr>
    <w:rPr>
      <w:rFonts w:eastAsia="Times New Roman"/>
      <w:lang w:eastAsia="en-US"/>
    </w:rPr>
  </w:style>
  <w:style w:type="paragraph" w:styleId="TOC4">
    <w:name w:val="toc 4"/>
    <w:basedOn w:val="Normal"/>
    <w:next w:val="Normal"/>
    <w:autoRedefine/>
    <w:semiHidden/>
    <w:locked/>
    <w:pPr>
      <w:ind w:left="600"/>
    </w:pPr>
  </w:style>
  <w:style w:type="paragraph" w:styleId="TOC2">
    <w:name w:val="toc 2"/>
    <w:basedOn w:val="Normal"/>
    <w:next w:val="Normal"/>
    <w:semiHidden/>
    <w:locked/>
    <w:pPr>
      <w:tabs>
        <w:tab w:val="left" w:pos="1620"/>
        <w:tab w:val="right" w:leader="dot" w:pos="9360"/>
      </w:tabs>
      <w:ind w:left="1980" w:hanging="1260"/>
    </w:pPr>
    <w:rPr>
      <w:rFonts w:ascii="Arial" w:hAnsi="Arial"/>
      <w:noProof/>
      <w:sz w:val="28"/>
    </w:rPr>
  </w:style>
  <w:style w:type="paragraph" w:styleId="TOC1">
    <w:name w:val="toc 1"/>
    <w:basedOn w:val="Normal"/>
    <w:next w:val="Normal"/>
    <w:semiHidden/>
    <w:locked/>
    <w:pPr>
      <w:tabs>
        <w:tab w:val="left" w:pos="720"/>
        <w:tab w:val="right" w:leader="dot" w:pos="9360"/>
      </w:tabs>
      <w:spacing w:before="120" w:after="60"/>
    </w:pPr>
    <w:rPr>
      <w:rFonts w:ascii="Arial" w:hAnsi="Arial"/>
      <w:b/>
      <w:noProof/>
      <w:sz w:val="28"/>
    </w:rPr>
  </w:style>
  <w:style w:type="paragraph" w:styleId="TOC3">
    <w:name w:val="toc 3"/>
    <w:basedOn w:val="Normal"/>
    <w:next w:val="Normal"/>
    <w:semiHidden/>
    <w:locked/>
    <w:pPr>
      <w:tabs>
        <w:tab w:val="left" w:pos="2520"/>
        <w:tab w:val="right" w:leader="dot" w:pos="9360"/>
      </w:tabs>
      <w:ind w:left="2880" w:hanging="1260"/>
    </w:pPr>
    <w:rPr>
      <w:rFonts w:ascii="Arial" w:hAnsi="Arial"/>
      <w:noProof/>
      <w:sz w:val="28"/>
    </w:rPr>
  </w:style>
  <w:style w:type="paragraph" w:styleId="TOC5">
    <w:name w:val="toc 5"/>
    <w:basedOn w:val="Normal"/>
    <w:next w:val="Normal"/>
    <w:autoRedefine/>
    <w:semiHidden/>
    <w:locked/>
    <w:pPr>
      <w:ind w:left="800"/>
    </w:pPr>
  </w:style>
  <w:style w:type="paragraph" w:styleId="TOC6">
    <w:name w:val="toc 6"/>
    <w:basedOn w:val="Normal"/>
    <w:next w:val="Normal"/>
    <w:autoRedefine/>
    <w:semiHidden/>
    <w:locked/>
    <w:pPr>
      <w:ind w:left="1000"/>
    </w:pPr>
  </w:style>
  <w:style w:type="paragraph" w:styleId="TOC7">
    <w:name w:val="toc 7"/>
    <w:basedOn w:val="Normal"/>
    <w:next w:val="Normal"/>
    <w:autoRedefine/>
    <w:semiHidden/>
    <w:locked/>
    <w:pPr>
      <w:ind w:left="1200"/>
    </w:pPr>
  </w:style>
  <w:style w:type="paragraph" w:styleId="TOC8">
    <w:name w:val="toc 8"/>
    <w:basedOn w:val="Normal"/>
    <w:next w:val="Normal"/>
    <w:autoRedefine/>
    <w:semiHidden/>
    <w:locked/>
    <w:pPr>
      <w:ind w:left="1400"/>
    </w:pPr>
  </w:style>
  <w:style w:type="paragraph" w:styleId="TOC9">
    <w:name w:val="toc 9"/>
    <w:basedOn w:val="Normal"/>
    <w:next w:val="Normal"/>
    <w:autoRedefine/>
    <w:semiHidden/>
    <w:locked/>
    <w:pPr>
      <w:ind w:left="1600"/>
    </w:pPr>
  </w:style>
  <w:style w:type="paragraph" w:customStyle="1" w:styleId="Warning">
    <w:name w:val="Warning"/>
    <w:basedOn w:val="BodyText"/>
    <w:qFormat/>
    <w:pPr>
      <w:pBdr>
        <w:top w:val="single" w:sz="18" w:space="1" w:color="auto"/>
        <w:left w:val="single" w:sz="18" w:space="4" w:color="auto"/>
        <w:bottom w:val="single" w:sz="18" w:space="1" w:color="auto"/>
        <w:right w:val="single" w:sz="18" w:space="4" w:color="auto"/>
      </w:pBdr>
      <w:spacing w:after="0"/>
    </w:pPr>
  </w:style>
  <w:style w:type="paragraph" w:customStyle="1" w:styleId="TableTextCentered">
    <w:name w:val="Table Text Centered"/>
    <w:basedOn w:val="BodyText"/>
    <w:qFormat/>
    <w:pPr>
      <w:jc w:val="center"/>
    </w:pPr>
  </w:style>
  <w:style w:type="paragraph" w:customStyle="1" w:styleId="BulletTwo">
    <w:name w:val="BulletTwo"/>
    <w:basedOn w:val="BulletOne"/>
    <w:qFormat/>
    <w:pPr>
      <w:numPr>
        <w:numId w:val="15"/>
      </w:numPr>
    </w:pPr>
  </w:style>
  <w:style w:type="paragraph" w:styleId="BalloonText">
    <w:name w:val="Balloon Text"/>
    <w:basedOn w:val="Normal"/>
    <w:link w:val="BalloonTextChar"/>
    <w:semiHidden/>
    <w:locked/>
    <w:rPr>
      <w:rFonts w:ascii="Tahoma" w:eastAsia="Times New Roman" w:hAnsi="Tahoma" w:cs="Tahoma"/>
      <w:szCs w:val="16"/>
      <w:lang w:eastAsia="en-US"/>
    </w:rPr>
  </w:style>
  <w:style w:type="character" w:customStyle="1" w:styleId="Highlight">
    <w:name w:val="Highlight"/>
    <w:qFormat/>
    <w:rPr>
      <w:bdr w:val="none" w:sz="0" w:space="0" w:color="auto"/>
      <w:shd w:val="clear" w:color="auto" w:fill="FFFF00"/>
    </w:rPr>
  </w:style>
  <w:style w:type="character" w:customStyle="1" w:styleId="Heading1Char">
    <w:name w:val="Heading 1 Char"/>
    <w:basedOn w:val="DefaultParagraphFont"/>
    <w:link w:val="Heading1"/>
    <w:rsid w:val="00426B15"/>
    <w:rPr>
      <w:rFonts w:ascii="Arial" w:hAnsi="Arial"/>
      <w:b/>
      <w:caps/>
      <w:kern w:val="28"/>
      <w:sz w:val="16"/>
      <w:szCs w:val="16"/>
    </w:rPr>
  </w:style>
  <w:style w:type="character" w:customStyle="1" w:styleId="Italics">
    <w:name w:val="Italics"/>
    <w:qFormat/>
    <w:rPr>
      <w:rFonts w:ascii="Arial Narrow" w:hAnsi="Arial Narrow"/>
      <w:i/>
      <w:sz w:val="16"/>
    </w:rPr>
  </w:style>
  <w:style w:type="character" w:customStyle="1" w:styleId="BodyTextChar">
    <w:name w:val="Body Text Char"/>
    <w:link w:val="BodyText"/>
    <w:rPr>
      <w:rFonts w:ascii="Arial Narrow" w:hAnsi="Arial Narrow"/>
      <w:sz w:val="16"/>
      <w:szCs w:val="16"/>
      <w:lang w:val="en-US" w:eastAsia="en-US" w:bidi="ar-SA"/>
    </w:rPr>
  </w:style>
  <w:style w:type="character" w:customStyle="1" w:styleId="CatalogNumberRocheChar">
    <w:name w:val="Catalog Number Roche Char"/>
    <w:link w:val="CatalogNumberRoche"/>
    <w:rPr>
      <w:rFonts w:ascii="Arial Narrow" w:hAnsi="Arial Narrow"/>
      <w:sz w:val="16"/>
      <w:szCs w:val="16"/>
      <w:lang w:val="en-US" w:eastAsia="en-US" w:bidi="ar-SA"/>
    </w:rPr>
  </w:style>
  <w:style w:type="character" w:styleId="FollowedHyperlink">
    <w:name w:val="FollowedHyperlink"/>
    <w:semiHidden/>
    <w:qFormat/>
    <w:rPr>
      <w:rFonts w:cs="Times New Roman"/>
      <w:color w:val="0000FF"/>
      <w:u w:val="none"/>
    </w:rPr>
  </w:style>
  <w:style w:type="paragraph" w:customStyle="1" w:styleId="KitName">
    <w:name w:val="Kit Name"/>
    <w:basedOn w:val="BodyText"/>
    <w:qFormat/>
    <w:pPr>
      <w:spacing w:before="60" w:after="60"/>
    </w:pPr>
    <w:rPr>
      <w:b/>
      <w:sz w:val="24"/>
    </w:rPr>
  </w:style>
  <w:style w:type="paragraph" w:customStyle="1" w:styleId="CatalogNumberVentana">
    <w:name w:val="Catalog Number Ventana"/>
    <w:basedOn w:val="BodyText"/>
    <w:link w:val="CatalogNumberVentanaChar"/>
    <w:qFormat/>
    <w:rPr>
      <w:sz w:val="20"/>
      <w:szCs w:val="20"/>
    </w:rPr>
  </w:style>
  <w:style w:type="paragraph" w:customStyle="1" w:styleId="CatalogNumberRoche">
    <w:name w:val="Catalog Number Roche"/>
    <w:basedOn w:val="BodyText"/>
    <w:link w:val="CatalogNumberRocheChar"/>
    <w:qFormat/>
    <w:rPr>
      <w:szCs w:val="20"/>
    </w:rPr>
  </w:style>
  <w:style w:type="paragraph" w:styleId="List">
    <w:name w:val="List"/>
    <w:basedOn w:val="Normal"/>
    <w:semiHidden/>
    <w:locked/>
    <w:pPr>
      <w:ind w:left="360" w:hanging="360"/>
    </w:pPr>
    <w:rPr>
      <w:rFonts w:eastAsia="Times New Roman"/>
      <w:lang w:eastAsia="en-US"/>
    </w:rPr>
  </w:style>
  <w:style w:type="paragraph" w:styleId="List2">
    <w:name w:val="List 2"/>
    <w:basedOn w:val="Normal"/>
    <w:semiHidden/>
    <w:locked/>
    <w:pPr>
      <w:ind w:left="720" w:hanging="360"/>
    </w:pPr>
    <w:rPr>
      <w:rFonts w:eastAsia="Times New Roman"/>
      <w:lang w:eastAsia="en-US"/>
    </w:rPr>
  </w:style>
  <w:style w:type="paragraph" w:styleId="List3">
    <w:name w:val="List 3"/>
    <w:basedOn w:val="Normal"/>
    <w:semiHidden/>
    <w:locked/>
    <w:pPr>
      <w:ind w:left="1080" w:hanging="360"/>
    </w:pPr>
    <w:rPr>
      <w:rFonts w:eastAsia="Times New Roman"/>
      <w:lang w:eastAsia="en-US"/>
    </w:rPr>
  </w:style>
  <w:style w:type="paragraph" w:styleId="List4">
    <w:name w:val="List 4"/>
    <w:basedOn w:val="Normal"/>
    <w:semiHidden/>
    <w:locked/>
    <w:pPr>
      <w:ind w:left="1440" w:hanging="360"/>
    </w:pPr>
    <w:rPr>
      <w:rFonts w:eastAsia="Times New Roman"/>
      <w:lang w:eastAsia="en-US"/>
    </w:rPr>
  </w:style>
  <w:style w:type="paragraph" w:styleId="List5">
    <w:name w:val="List 5"/>
    <w:basedOn w:val="Normal"/>
    <w:semiHidden/>
    <w:locked/>
    <w:pPr>
      <w:ind w:left="1800" w:hanging="360"/>
    </w:pPr>
    <w:rPr>
      <w:rFonts w:eastAsia="Times New Roman"/>
      <w:lang w:eastAsia="en-US"/>
    </w:rPr>
  </w:style>
  <w:style w:type="paragraph" w:styleId="ListBullet4">
    <w:name w:val="List Bullet 4"/>
    <w:basedOn w:val="Normal"/>
    <w:semiHidden/>
    <w:locked/>
    <w:rPr>
      <w:rFonts w:eastAsia="Times New Roman"/>
      <w:lang w:eastAsia="en-US"/>
    </w:rPr>
  </w:style>
  <w:style w:type="paragraph" w:styleId="ListBullet5">
    <w:name w:val="List Bullet 5"/>
    <w:basedOn w:val="Normal"/>
    <w:semiHidden/>
    <w:locked/>
    <w:rPr>
      <w:rFonts w:eastAsia="Times New Roman"/>
      <w:lang w:eastAsia="en-US"/>
    </w:rPr>
  </w:style>
  <w:style w:type="paragraph" w:styleId="ListContinue2">
    <w:name w:val="List Continue 2"/>
    <w:basedOn w:val="Normal"/>
    <w:semiHidden/>
    <w:locked/>
    <w:pPr>
      <w:spacing w:after="120"/>
      <w:ind w:left="720"/>
    </w:pPr>
    <w:rPr>
      <w:rFonts w:eastAsia="Times New Roman"/>
      <w:lang w:eastAsia="en-US"/>
    </w:rPr>
  </w:style>
  <w:style w:type="paragraph" w:styleId="ListContinue3">
    <w:name w:val="List Continue 3"/>
    <w:basedOn w:val="Normal"/>
    <w:semiHidden/>
    <w:locked/>
    <w:pPr>
      <w:spacing w:after="120"/>
      <w:ind w:left="1080"/>
    </w:pPr>
    <w:rPr>
      <w:rFonts w:eastAsia="Times New Roman"/>
      <w:lang w:eastAsia="en-US"/>
    </w:rPr>
  </w:style>
  <w:style w:type="paragraph" w:styleId="ListContinue4">
    <w:name w:val="List Continue 4"/>
    <w:basedOn w:val="Normal"/>
    <w:semiHidden/>
    <w:locked/>
    <w:pPr>
      <w:spacing w:after="120"/>
      <w:ind w:left="1440"/>
    </w:pPr>
    <w:rPr>
      <w:rFonts w:eastAsia="Times New Roman"/>
      <w:lang w:eastAsia="en-US"/>
    </w:rPr>
  </w:style>
  <w:style w:type="paragraph" w:styleId="ListContinue5">
    <w:name w:val="List Continue 5"/>
    <w:basedOn w:val="Normal"/>
    <w:semiHidden/>
    <w:locked/>
    <w:pPr>
      <w:spacing w:after="120"/>
      <w:ind w:left="1800"/>
    </w:pPr>
    <w:rPr>
      <w:rFonts w:eastAsia="Times New Roman"/>
      <w:lang w:eastAsia="en-US"/>
    </w:rPr>
  </w:style>
  <w:style w:type="paragraph" w:styleId="ListNumber2">
    <w:name w:val="List Number 2"/>
    <w:basedOn w:val="Normal"/>
    <w:semiHidden/>
    <w:locked/>
    <w:rPr>
      <w:rFonts w:eastAsia="Times New Roman"/>
      <w:lang w:eastAsia="en-US"/>
    </w:rPr>
  </w:style>
  <w:style w:type="paragraph" w:styleId="ListNumber3">
    <w:name w:val="List Number 3"/>
    <w:basedOn w:val="Normal"/>
    <w:semiHidden/>
    <w:locked/>
    <w:rPr>
      <w:rFonts w:eastAsia="Times New Roman"/>
      <w:lang w:eastAsia="en-US"/>
    </w:rPr>
  </w:style>
  <w:style w:type="paragraph" w:styleId="ListNumber4">
    <w:name w:val="List Number 4"/>
    <w:basedOn w:val="Normal"/>
    <w:semiHidden/>
    <w:locked/>
    <w:rPr>
      <w:rFonts w:eastAsia="Times New Roman"/>
      <w:lang w:eastAsia="en-US"/>
    </w:rPr>
  </w:style>
  <w:style w:type="paragraph" w:styleId="ListNumber5">
    <w:name w:val="List Number 5"/>
    <w:basedOn w:val="Normal"/>
    <w:semiHidden/>
    <w:locked/>
    <w:rPr>
      <w:rFonts w:eastAsia="Times New Roman"/>
      <w:lang w:eastAsia="en-US"/>
    </w:rPr>
  </w:style>
  <w:style w:type="paragraph" w:customStyle="1" w:styleId="TestsNumber">
    <w:name w:val="TestsNumber"/>
    <w:basedOn w:val="CatalogNumberRoche"/>
    <w:link w:val="TestsNumberChar"/>
    <w:rPr>
      <w:noProof/>
      <w:sz w:val="20"/>
      <w:szCs w:val="16"/>
      <w:lang w:eastAsia="zh-CN"/>
    </w:rPr>
  </w:style>
  <w:style w:type="character" w:customStyle="1" w:styleId="BoldText">
    <w:name w:val="Bold Text"/>
    <w:qFormat/>
    <w:rPr>
      <w:rFonts w:ascii="Arial Narrow" w:hAnsi="Arial Narrow"/>
      <w:b/>
      <w:sz w:val="16"/>
    </w:rPr>
  </w:style>
  <w:style w:type="table" w:styleId="Table3Deffects1">
    <w:name w:val="Table 3D effects 1"/>
    <w:basedOn w:val="TableNormal"/>
    <w:semiHidden/>
    <w:locked/>
    <w:rPr>
      <w:lang w:eastAsia="zh-C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Pr>
      <w:lang w:eastAsia="zh-C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locked/>
    <w:rPr>
      <w:lang w:eastAsia="zh-C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locked/>
    <w:rPr>
      <w:lang w:eastAsia="zh-C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locked/>
    <w:rPr>
      <w:lang w:eastAsia="zh-C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Pr>
      <w:lang w:eastAsia="zh-C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Pr>
      <w:lang w:eastAsia="zh-C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locked/>
    <w:rPr>
      <w:b/>
      <w:bCs/>
      <w:lang w:eastAsia="zh-CN"/>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locked/>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locked/>
    <w:rPr>
      <w:lang w:eastAsia="zh-C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locked/>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locked/>
    <w:rPr>
      <w:lang w:eastAsia="zh-C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locke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locked/>
    <w:rPr>
      <w:lang w:eastAsia="zh-C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locked/>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locked/>
    <w:rPr>
      <w:lang w:eastAsia="zh-C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locked/>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locked/>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locked/>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locked/>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locked/>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locked/>
    <w:rPr>
      <w:lang w:eastAsia="zh-C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locked/>
    <w:rPr>
      <w:lang w:eastAsia="zh-C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locked/>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locked/>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Pr>
      <w:lang w:eastAsia="zh-C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Pr>
      <w:lang w:eastAsia="zh-C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Pr>
      <w:lang w:eastAsia="zh-C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Pr>
      <w:lang w:eastAsia="zh-C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locked/>
    <w:rPr>
      <w:lang w:eastAsia="zh-C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locke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locked/>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locked/>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ultraView">
    <w:name w:val="ultraView"/>
    <w:qFormat/>
    <w:rPr>
      <w:rFonts w:ascii="Monotype Corsiva" w:hAnsi="Monotype Corsiva"/>
      <w:sz w:val="16"/>
    </w:rPr>
  </w:style>
  <w:style w:type="character" w:customStyle="1" w:styleId="Reference">
    <w:name w:val="Reference"/>
    <w:qFormat/>
    <w:rPr>
      <w:rFonts w:ascii="Arial Narrow" w:hAnsi="Arial Narrow"/>
      <w:position w:val="4"/>
      <w:sz w:val="14"/>
    </w:rPr>
  </w:style>
  <w:style w:type="paragraph" w:customStyle="1" w:styleId="BulletOne">
    <w:name w:val="BulletOne"/>
    <w:qFormat/>
    <w:pPr>
      <w:numPr>
        <w:numId w:val="14"/>
      </w:numPr>
      <w:spacing w:before="40" w:after="40"/>
    </w:pPr>
    <w:rPr>
      <w:rFonts w:ascii="Arial Narrow" w:hAnsi="Arial Narrow" w:cs="Arial"/>
      <w:sz w:val="16"/>
      <w:szCs w:val="16"/>
    </w:rPr>
  </w:style>
  <w:style w:type="character" w:customStyle="1" w:styleId="FooterTemplatePN">
    <w:name w:val="Footer Template PN"/>
    <w:rPr>
      <w:rFonts w:ascii="Arial Narrow" w:hAnsi="Arial Narrow"/>
      <w:sz w:val="12"/>
    </w:rPr>
  </w:style>
  <w:style w:type="character" w:customStyle="1" w:styleId="Heading2Char">
    <w:name w:val="Heading 2 Char"/>
    <w:link w:val="Heading2"/>
    <w:rsid w:val="00190353"/>
    <w:rPr>
      <w:rFonts w:ascii="Arial" w:hAnsi="Arial"/>
      <w:b/>
      <w:sz w:val="16"/>
      <w:szCs w:val="16"/>
    </w:rPr>
  </w:style>
  <w:style w:type="paragraph" w:customStyle="1" w:styleId="TableHeadingCenter">
    <w:name w:val="Table Heading Center"/>
    <w:basedOn w:val="BodyText"/>
    <w:qFormat/>
    <w:pPr>
      <w:jc w:val="center"/>
    </w:pPr>
    <w:rPr>
      <w:b/>
    </w:rPr>
  </w:style>
  <w:style w:type="character" w:customStyle="1" w:styleId="TestsNumberChar">
    <w:name w:val="TestsNumber Char"/>
    <w:link w:val="TestsNumber"/>
    <w:rPr>
      <w:rFonts w:ascii="Arial Narrow" w:hAnsi="Arial Narrow"/>
      <w:noProof/>
      <w:szCs w:val="16"/>
      <w:lang w:eastAsia="zh-CN"/>
    </w:rPr>
  </w:style>
  <w:style w:type="paragraph" w:customStyle="1" w:styleId="TableHeadLeft">
    <w:name w:val="Table Head Left"/>
    <w:basedOn w:val="BodyText"/>
    <w:link w:val="TableHeadLeftCharChar"/>
    <w:qFormat/>
    <w:rPr>
      <w:b/>
    </w:rPr>
  </w:style>
  <w:style w:type="paragraph" w:customStyle="1" w:styleId="TableInsertText">
    <w:name w:val="Table Insert Text"/>
    <w:basedOn w:val="Normal"/>
    <w:link w:val="TableInsertTextChar"/>
    <w:locked/>
    <w:rsid w:val="00BC452F"/>
    <w:pPr>
      <w:jc w:val="center"/>
    </w:pPr>
  </w:style>
  <w:style w:type="paragraph" w:customStyle="1" w:styleId="TableTextLeft">
    <w:name w:val="Table Text Left"/>
    <w:basedOn w:val="BodyText"/>
    <w:link w:val="TableTextLeftCharChar"/>
    <w:qFormat/>
    <w:rsid w:val="00053DB5"/>
  </w:style>
  <w:style w:type="character" w:customStyle="1" w:styleId="TableInsertTextChar">
    <w:name w:val="Table Insert Text Char"/>
    <w:link w:val="TableInsertText"/>
    <w:rPr>
      <w:rFonts w:ascii="Arial Narrow" w:hAnsi="Arial Narrow"/>
      <w:i/>
      <w:color w:val="FF0000"/>
      <w:sz w:val="16"/>
      <w:szCs w:val="16"/>
      <w:lang w:val="en-US" w:eastAsia="en-US" w:bidi="ar-SA"/>
    </w:rPr>
  </w:style>
  <w:style w:type="character" w:customStyle="1" w:styleId="TableHeadLeftCharChar">
    <w:name w:val="Table Head Left Char Char"/>
    <w:link w:val="TableHeadLeft"/>
    <w:rPr>
      <w:rFonts w:ascii="Arial Narrow" w:hAnsi="Arial Narrow"/>
      <w:b/>
      <w:sz w:val="16"/>
      <w:szCs w:val="16"/>
      <w:lang w:val="en-US" w:eastAsia="en-US" w:bidi="ar-SA"/>
    </w:rPr>
  </w:style>
  <w:style w:type="character" w:customStyle="1" w:styleId="TableTextLeftCharChar">
    <w:name w:val="Table Text Left Char Char"/>
    <w:link w:val="TableTextLeft"/>
    <w:rsid w:val="00053DB5"/>
    <w:rPr>
      <w:rFonts w:ascii="Arial Narrow" w:hAnsi="Arial Narrow"/>
      <w:sz w:val="16"/>
      <w:szCs w:val="16"/>
    </w:rPr>
  </w:style>
  <w:style w:type="character" w:customStyle="1" w:styleId="Heading3Char">
    <w:name w:val="Heading 3 Char"/>
    <w:link w:val="Heading3"/>
    <w:rsid w:val="00190353"/>
    <w:rPr>
      <w:rFonts w:ascii="Arial Narrow" w:hAnsi="Arial Narrow"/>
      <w:b/>
      <w:sz w:val="16"/>
      <w:szCs w:val="16"/>
    </w:rPr>
  </w:style>
  <w:style w:type="paragraph" w:customStyle="1" w:styleId="REFsymbol">
    <w:name w:val="REF symbol"/>
    <w:basedOn w:val="CatalogNumberVentana"/>
    <w:pPr>
      <w:ind w:left="-108"/>
    </w:pPr>
  </w:style>
  <w:style w:type="paragraph" w:customStyle="1" w:styleId="FigureNumber">
    <w:name w:val="Figure Number"/>
    <w:basedOn w:val="BodyText"/>
    <w:next w:val="BodyText"/>
    <w:qFormat/>
    <w:pPr>
      <w:numPr>
        <w:numId w:val="16"/>
      </w:numPr>
    </w:pPr>
    <w:rPr>
      <w:b/>
    </w:rPr>
  </w:style>
  <w:style w:type="paragraph" w:styleId="Revision">
    <w:name w:val="Revision"/>
    <w:hidden/>
    <w:uiPriority w:val="99"/>
    <w:semiHidden/>
    <w:rPr>
      <w:rFonts w:ascii="Arial Narrow" w:eastAsia="SimSun" w:hAnsi="Arial Narrow"/>
      <w:sz w:val="16"/>
      <w:lang w:eastAsia="zh-CN"/>
    </w:rPr>
  </w:style>
  <w:style w:type="character" w:customStyle="1" w:styleId="CatalogNumberVentanaChar">
    <w:name w:val="Catalog Number Ventana Char"/>
    <w:basedOn w:val="BodyTextChar"/>
    <w:link w:val="CatalogNumberVentana"/>
    <w:rPr>
      <w:rFonts w:ascii="Arial Narrow" w:hAnsi="Arial Narrow"/>
      <w:sz w:val="16"/>
      <w:szCs w:val="16"/>
      <w:lang w:val="en-US" w:eastAsia="en-US" w:bidi="ar-SA"/>
    </w:rPr>
  </w:style>
  <w:style w:type="character" w:styleId="Hyperlink">
    <w:name w:val="Hyperlink"/>
    <w:basedOn w:val="DefaultParagraphFont"/>
    <w:rPr>
      <w:color w:val="0000FF" w:themeColor="hyperlink"/>
      <w:u w:val="none"/>
    </w:rPr>
  </w:style>
  <w:style w:type="character" w:customStyle="1" w:styleId="Subscript">
    <w:name w:val="Subscript"/>
    <w:basedOn w:val="DefaultParagraphFont"/>
    <w:uiPriority w:val="1"/>
    <w:rsid w:val="00504E9E"/>
    <w:rPr>
      <w:vertAlign w:val="subscript"/>
    </w:rPr>
  </w:style>
  <w:style w:type="character" w:customStyle="1" w:styleId="HelperText">
    <w:name w:val="HelperText"/>
    <w:basedOn w:val="DefaultParagraphFont"/>
    <w:uiPriority w:val="1"/>
    <w:locked/>
    <w:rsid w:val="00FF7C8E"/>
    <w:rPr>
      <w:i/>
      <w:color w:val="FF0000"/>
    </w:rPr>
  </w:style>
  <w:style w:type="paragraph" w:styleId="CommentText">
    <w:name w:val="annotation text"/>
    <w:basedOn w:val="Normal"/>
    <w:link w:val="CommentTextChar"/>
    <w:unhideWhenUsed/>
    <w:locked/>
    <w:rPr>
      <w:sz w:val="20"/>
    </w:rPr>
  </w:style>
  <w:style w:type="character" w:customStyle="1" w:styleId="CommentTextChar">
    <w:name w:val="Comment Text Char"/>
    <w:basedOn w:val="DefaultParagraphFont"/>
    <w:link w:val="CommentText"/>
    <w:rPr>
      <w:rFonts w:ascii="Arial Narrow" w:eastAsia="SimSun" w:hAnsi="Arial Narrow"/>
      <w:lang w:eastAsia="zh-CN"/>
    </w:rPr>
  </w:style>
  <w:style w:type="character" w:styleId="CommentReference">
    <w:name w:val="annotation reference"/>
    <w:basedOn w:val="DefaultParagraphFont"/>
    <w:unhideWhenUsed/>
    <w:locked/>
    <w:rPr>
      <w:sz w:val="16"/>
      <w:szCs w:val="16"/>
    </w:rPr>
  </w:style>
  <w:style w:type="character" w:customStyle="1" w:styleId="Heading4Char">
    <w:name w:val="Heading 4 Char"/>
    <w:basedOn w:val="DefaultParagraphFont"/>
    <w:link w:val="Heading4"/>
    <w:rsid w:val="007B11C2"/>
    <w:rPr>
      <w:rFonts w:ascii="Arial Narrow" w:hAnsi="Arial Narrow"/>
      <w:b/>
      <w:i/>
      <w:sz w:val="16"/>
      <w:szCs w:val="16"/>
    </w:rPr>
  </w:style>
  <w:style w:type="character" w:customStyle="1" w:styleId="Heading5Char">
    <w:name w:val="Heading 5 Char"/>
    <w:basedOn w:val="DefaultParagraphFont"/>
    <w:link w:val="Heading5"/>
    <w:rsid w:val="007B11C2"/>
    <w:rPr>
      <w:rFonts w:ascii="Arial Narrow" w:hAnsi="Arial Narrow"/>
      <w:i/>
      <w:sz w:val="16"/>
      <w:szCs w:val="16"/>
    </w:rPr>
  </w:style>
  <w:style w:type="character" w:customStyle="1" w:styleId="Heading6Char">
    <w:name w:val="Heading 6 Char"/>
    <w:basedOn w:val="DefaultParagraphFont"/>
    <w:link w:val="Heading6"/>
    <w:rsid w:val="007B11C2"/>
    <w:rPr>
      <w:rFonts w:ascii="Arial Narrow" w:hAnsi="Arial Narrow"/>
      <w:i/>
      <w:sz w:val="22"/>
    </w:rPr>
  </w:style>
  <w:style w:type="character" w:customStyle="1" w:styleId="Heading7Char">
    <w:name w:val="Heading 7 Char"/>
    <w:basedOn w:val="DefaultParagraphFont"/>
    <w:link w:val="Heading7"/>
    <w:rsid w:val="007B11C2"/>
    <w:rPr>
      <w:rFonts w:ascii="Arial" w:hAnsi="Arial"/>
      <w:sz w:val="24"/>
    </w:rPr>
  </w:style>
  <w:style w:type="character" w:customStyle="1" w:styleId="Heading8Char">
    <w:name w:val="Heading 8 Char"/>
    <w:basedOn w:val="DefaultParagraphFont"/>
    <w:link w:val="Heading8"/>
    <w:rsid w:val="007B11C2"/>
    <w:rPr>
      <w:rFonts w:ascii="Arial" w:hAnsi="Arial"/>
      <w:i/>
      <w:sz w:val="24"/>
    </w:rPr>
  </w:style>
  <w:style w:type="character" w:customStyle="1" w:styleId="Heading9Char">
    <w:name w:val="Heading 9 Char"/>
    <w:basedOn w:val="DefaultParagraphFont"/>
    <w:link w:val="Heading9"/>
    <w:rsid w:val="007B11C2"/>
    <w:rPr>
      <w:rFonts w:ascii="Arial" w:hAnsi="Arial"/>
      <w:b/>
      <w:i/>
      <w:sz w:val="18"/>
    </w:rPr>
  </w:style>
  <w:style w:type="paragraph" w:customStyle="1" w:styleId="Bullet1CharChar">
    <w:name w:val="Bullet1 Char Char"/>
    <w:basedOn w:val="Normal"/>
    <w:link w:val="Bullet1CharCharChar"/>
    <w:semiHidden/>
    <w:locked/>
    <w:rsid w:val="007B11C2"/>
    <w:pPr>
      <w:tabs>
        <w:tab w:val="num" w:pos="360"/>
        <w:tab w:val="left" w:pos="1800"/>
      </w:tabs>
      <w:spacing w:after="120"/>
      <w:jc w:val="both"/>
    </w:pPr>
    <w:rPr>
      <w:rFonts w:ascii="Arial" w:eastAsia="Times New Roman" w:hAnsi="Arial"/>
      <w:sz w:val="28"/>
      <w:lang w:eastAsia="en-US"/>
    </w:rPr>
  </w:style>
  <w:style w:type="paragraph" w:customStyle="1" w:styleId="Normal2">
    <w:name w:val="Normal2"/>
    <w:basedOn w:val="BodyText"/>
    <w:semiHidden/>
    <w:locked/>
    <w:rsid w:val="007B11C2"/>
    <w:pPr>
      <w:spacing w:after="0"/>
      <w:jc w:val="center"/>
    </w:pPr>
    <w:rPr>
      <w:sz w:val="20"/>
    </w:rPr>
  </w:style>
  <w:style w:type="paragraph" w:customStyle="1" w:styleId="Bullet2">
    <w:name w:val="Bullet2"/>
    <w:basedOn w:val="Bullet1CharChar"/>
    <w:link w:val="Bullet2Char"/>
    <w:semiHidden/>
    <w:locked/>
    <w:rsid w:val="007B11C2"/>
    <w:pPr>
      <w:tabs>
        <w:tab w:val="clear" w:pos="360"/>
        <w:tab w:val="clear" w:pos="1800"/>
        <w:tab w:val="left" w:pos="2160"/>
      </w:tabs>
    </w:pPr>
  </w:style>
  <w:style w:type="paragraph" w:customStyle="1" w:styleId="Bullet3">
    <w:name w:val="Bullet3"/>
    <w:basedOn w:val="Bullet2"/>
    <w:autoRedefine/>
    <w:semiHidden/>
    <w:locked/>
    <w:rsid w:val="007B11C2"/>
    <w:pPr>
      <w:tabs>
        <w:tab w:val="clear" w:pos="2160"/>
        <w:tab w:val="num" w:pos="1080"/>
        <w:tab w:val="left" w:pos="2520"/>
      </w:tabs>
      <w:ind w:left="360" w:firstLine="360"/>
    </w:pPr>
  </w:style>
  <w:style w:type="paragraph" w:customStyle="1" w:styleId="bullet4">
    <w:name w:val="bullet4"/>
    <w:basedOn w:val="Bullet3"/>
    <w:autoRedefine/>
    <w:semiHidden/>
    <w:locked/>
    <w:rsid w:val="007B11C2"/>
    <w:pPr>
      <w:tabs>
        <w:tab w:val="clear" w:pos="1080"/>
        <w:tab w:val="clear" w:pos="2520"/>
        <w:tab w:val="num" w:pos="1440"/>
        <w:tab w:val="left" w:pos="2880"/>
      </w:tabs>
      <w:ind w:left="1440" w:hanging="360"/>
    </w:pPr>
  </w:style>
  <w:style w:type="paragraph" w:styleId="Header">
    <w:name w:val="header"/>
    <w:basedOn w:val="BodyText"/>
    <w:link w:val="HeaderChar"/>
    <w:locked/>
    <w:rsid w:val="007B11C2"/>
    <w:pPr>
      <w:tabs>
        <w:tab w:val="center" w:pos="4320"/>
        <w:tab w:val="right" w:pos="8640"/>
      </w:tabs>
    </w:pPr>
  </w:style>
  <w:style w:type="character" w:customStyle="1" w:styleId="HeaderChar">
    <w:name w:val="Header Char"/>
    <w:basedOn w:val="DefaultParagraphFont"/>
    <w:link w:val="Header"/>
    <w:rsid w:val="007B11C2"/>
    <w:rPr>
      <w:rFonts w:ascii="Arial Narrow" w:hAnsi="Arial Narrow"/>
      <w:sz w:val="16"/>
      <w:szCs w:val="16"/>
    </w:rPr>
  </w:style>
  <w:style w:type="character" w:customStyle="1" w:styleId="FooterChar">
    <w:name w:val="Footer Char"/>
    <w:basedOn w:val="DefaultParagraphFont"/>
    <w:link w:val="Footer"/>
    <w:rsid w:val="007B11C2"/>
    <w:rPr>
      <w:rFonts w:ascii="Arial Narrow" w:hAnsi="Arial Narrow"/>
      <w:sz w:val="16"/>
      <w:szCs w:val="16"/>
    </w:rPr>
  </w:style>
  <w:style w:type="paragraph" w:customStyle="1" w:styleId="List1">
    <w:name w:val="List1"/>
    <w:basedOn w:val="Normal"/>
    <w:autoRedefine/>
    <w:semiHidden/>
    <w:locked/>
    <w:rsid w:val="007B11C2"/>
    <w:pPr>
      <w:tabs>
        <w:tab w:val="num" w:pos="720"/>
        <w:tab w:val="left" w:pos="1800"/>
      </w:tabs>
      <w:spacing w:after="60"/>
      <w:ind w:left="360" w:hanging="360"/>
    </w:pPr>
    <w:rPr>
      <w:rFonts w:ascii="Arial" w:eastAsia="Times New Roman" w:hAnsi="Arial"/>
      <w:sz w:val="28"/>
      <w:lang w:eastAsia="en-US"/>
    </w:rPr>
  </w:style>
  <w:style w:type="paragraph" w:customStyle="1" w:styleId="NormalBulletIndent">
    <w:name w:val="Normal Bullet Indent"/>
    <w:basedOn w:val="Normal"/>
    <w:semiHidden/>
    <w:locked/>
    <w:rsid w:val="007B11C2"/>
    <w:pPr>
      <w:ind w:left="1224" w:hanging="360"/>
    </w:pPr>
  </w:style>
  <w:style w:type="paragraph" w:customStyle="1" w:styleId="Explanatory">
    <w:name w:val="Explanatory"/>
    <w:basedOn w:val="Normal"/>
    <w:semiHidden/>
    <w:locked/>
    <w:rsid w:val="007B11C2"/>
    <w:rPr>
      <w:rFonts w:eastAsia="Times New Roman"/>
      <w:sz w:val="24"/>
      <w:lang w:eastAsia="en-US"/>
    </w:rPr>
  </w:style>
  <w:style w:type="paragraph" w:customStyle="1" w:styleId="Callout">
    <w:name w:val="Callout"/>
    <w:basedOn w:val="Normal"/>
    <w:semiHidden/>
    <w:locked/>
    <w:rsid w:val="007B11C2"/>
    <w:pPr>
      <w:ind w:left="86" w:right="86"/>
    </w:pPr>
    <w:rPr>
      <w:rFonts w:eastAsia="Times New Roman"/>
      <w:lang w:eastAsia="en-US"/>
    </w:rPr>
  </w:style>
  <w:style w:type="paragraph" w:customStyle="1" w:styleId="HowTo">
    <w:name w:val="HowTo"/>
    <w:basedOn w:val="Normal"/>
    <w:semiHidden/>
    <w:locked/>
    <w:rsid w:val="007B11C2"/>
    <w:pPr>
      <w:ind w:left="1980"/>
    </w:pPr>
    <w:rPr>
      <w:rFonts w:eastAsia="Times New Roman"/>
      <w:i/>
      <w:sz w:val="24"/>
      <w:lang w:eastAsia="en-US"/>
    </w:rPr>
  </w:style>
  <w:style w:type="paragraph" w:customStyle="1" w:styleId="Steps">
    <w:name w:val="Steps"/>
    <w:basedOn w:val="Normal"/>
    <w:semiHidden/>
    <w:locked/>
    <w:rsid w:val="007B11C2"/>
    <w:pPr>
      <w:widowControl w:val="0"/>
      <w:jc w:val="center"/>
    </w:pPr>
    <w:rPr>
      <w:sz w:val="36"/>
    </w:rPr>
  </w:style>
  <w:style w:type="paragraph" w:customStyle="1" w:styleId="Bulleted">
    <w:name w:val="Bulleted"/>
    <w:basedOn w:val="Normal"/>
    <w:semiHidden/>
    <w:locked/>
    <w:rsid w:val="007B11C2"/>
    <w:pPr>
      <w:tabs>
        <w:tab w:val="num" w:pos="360"/>
      </w:tabs>
      <w:ind w:left="360" w:hanging="360"/>
    </w:pPr>
    <w:rPr>
      <w:rFonts w:eastAsia="Times New Roman"/>
      <w:sz w:val="24"/>
      <w:lang w:eastAsia="en-US"/>
    </w:rPr>
  </w:style>
  <w:style w:type="paragraph" w:styleId="DocumentMap">
    <w:name w:val="Document Map"/>
    <w:basedOn w:val="Normal"/>
    <w:link w:val="DocumentMapChar"/>
    <w:semiHidden/>
    <w:locked/>
    <w:rsid w:val="007B11C2"/>
    <w:pPr>
      <w:shd w:val="clear" w:color="auto" w:fill="000080"/>
    </w:pPr>
    <w:rPr>
      <w:rFonts w:ascii="Tahoma" w:eastAsia="Times New Roman" w:hAnsi="Tahoma"/>
      <w:lang w:eastAsia="en-US"/>
    </w:rPr>
  </w:style>
  <w:style w:type="character" w:customStyle="1" w:styleId="DocumentMapChar">
    <w:name w:val="Document Map Char"/>
    <w:basedOn w:val="DefaultParagraphFont"/>
    <w:link w:val="DocumentMap"/>
    <w:semiHidden/>
    <w:rsid w:val="007B11C2"/>
    <w:rPr>
      <w:rFonts w:ascii="Tahoma" w:hAnsi="Tahoma"/>
      <w:sz w:val="16"/>
      <w:shd w:val="clear" w:color="auto" w:fill="000080"/>
    </w:rPr>
  </w:style>
  <w:style w:type="numbering" w:styleId="ArticleSection">
    <w:name w:val="Outline List 3"/>
    <w:basedOn w:val="NoList"/>
    <w:semiHidden/>
    <w:locked/>
    <w:rsid w:val="007B11C2"/>
    <w:pPr>
      <w:numPr>
        <w:numId w:val="27"/>
      </w:numPr>
    </w:pPr>
  </w:style>
  <w:style w:type="paragraph" w:customStyle="1" w:styleId="Box">
    <w:name w:val="Box"/>
    <w:basedOn w:val="Explanatory"/>
    <w:semiHidden/>
    <w:locked/>
    <w:rsid w:val="007B11C2"/>
    <w:pPr>
      <w:framePr w:w="2477" w:h="3802" w:hRule="exact" w:hSpace="187" w:vSpace="187" w:wrap="around" w:vAnchor="text" w:hAnchor="margin" w:y="159"/>
      <w:pBdr>
        <w:top w:val="single" w:sz="12" w:space="1" w:color="auto" w:shadow="1"/>
        <w:left w:val="single" w:sz="12" w:space="1" w:color="auto" w:shadow="1"/>
        <w:bottom w:val="single" w:sz="12" w:space="1" w:color="auto" w:shadow="1"/>
        <w:right w:val="single" w:sz="12" w:space="1" w:color="auto" w:shadow="1"/>
      </w:pBdr>
      <w:shd w:val="pct15" w:color="auto" w:fill="auto"/>
      <w:ind w:left="90"/>
    </w:pPr>
    <w:rPr>
      <w:rFonts w:ascii="Arial" w:hAnsi="Arial"/>
    </w:rPr>
  </w:style>
  <w:style w:type="paragraph" w:customStyle="1" w:styleId="ExplanatoryTight">
    <w:name w:val="Explanatory Tight"/>
    <w:basedOn w:val="Explanatory"/>
    <w:semiHidden/>
    <w:locked/>
    <w:rsid w:val="007B11C2"/>
    <w:pPr>
      <w:spacing w:before="0"/>
    </w:pPr>
  </w:style>
  <w:style w:type="paragraph" w:customStyle="1" w:styleId="TitlePage">
    <w:name w:val="Title Page"/>
    <w:basedOn w:val="BodyText"/>
    <w:semiHidden/>
    <w:locked/>
    <w:rsid w:val="007B11C2"/>
    <w:pPr>
      <w:spacing w:after="0"/>
      <w:jc w:val="center"/>
    </w:pPr>
    <w:rPr>
      <w:rFonts w:ascii="Tahoma" w:hAnsi="Tahoma"/>
      <w:b/>
      <w:sz w:val="96"/>
    </w:rPr>
  </w:style>
  <w:style w:type="character" w:customStyle="1" w:styleId="Bullet1CharCharChar">
    <w:name w:val="Bullet1 Char Char Char"/>
    <w:link w:val="Bullet1CharChar"/>
    <w:semiHidden/>
    <w:rsid w:val="007B11C2"/>
    <w:rPr>
      <w:rFonts w:ascii="Arial" w:hAnsi="Arial"/>
      <w:sz w:val="28"/>
    </w:rPr>
  </w:style>
  <w:style w:type="paragraph" w:customStyle="1" w:styleId="Bullet1">
    <w:name w:val="Bullet1"/>
    <w:basedOn w:val="Normal"/>
    <w:semiHidden/>
    <w:locked/>
    <w:rsid w:val="007B11C2"/>
    <w:pPr>
      <w:tabs>
        <w:tab w:val="left" w:pos="1800"/>
      </w:tabs>
      <w:spacing w:after="120"/>
      <w:ind w:left="1800" w:hanging="360"/>
      <w:jc w:val="both"/>
    </w:pPr>
    <w:rPr>
      <w:rFonts w:ascii="Arial" w:eastAsia="Times New Roman" w:hAnsi="Arial"/>
      <w:sz w:val="28"/>
      <w:lang w:eastAsia="en-US"/>
    </w:rPr>
  </w:style>
  <w:style w:type="paragraph" w:customStyle="1" w:styleId="Bullet1Char">
    <w:name w:val="Bullet1 Char"/>
    <w:basedOn w:val="Normal"/>
    <w:semiHidden/>
    <w:locked/>
    <w:rsid w:val="007B11C2"/>
    <w:pPr>
      <w:tabs>
        <w:tab w:val="left" w:pos="1800"/>
      </w:tabs>
      <w:spacing w:after="120"/>
      <w:ind w:left="1800" w:hanging="360"/>
      <w:jc w:val="both"/>
    </w:pPr>
    <w:rPr>
      <w:rFonts w:ascii="Arial" w:eastAsia="Times New Roman" w:hAnsi="Arial"/>
      <w:sz w:val="28"/>
      <w:lang w:eastAsia="en-US"/>
    </w:rPr>
  </w:style>
  <w:style w:type="character" w:customStyle="1" w:styleId="Bullet2Char">
    <w:name w:val="Bullet2 Char"/>
    <w:link w:val="Bullet2"/>
    <w:semiHidden/>
    <w:rsid w:val="007B11C2"/>
    <w:rPr>
      <w:rFonts w:ascii="Arial" w:hAnsi="Arial"/>
      <w:sz w:val="28"/>
    </w:rPr>
  </w:style>
  <w:style w:type="character" w:customStyle="1" w:styleId="BodyTextIndentChar">
    <w:name w:val="Body Text Indent Char"/>
    <w:basedOn w:val="DefaultParagraphFont"/>
    <w:link w:val="BodyTextIndent"/>
    <w:semiHidden/>
    <w:rsid w:val="007B11C2"/>
    <w:rPr>
      <w:rFonts w:ascii="Arial Narrow" w:hAnsi="Arial Narrow"/>
      <w:sz w:val="16"/>
    </w:rPr>
  </w:style>
  <w:style w:type="character" w:customStyle="1" w:styleId="BalloonTextChar">
    <w:name w:val="Balloon Text Char"/>
    <w:basedOn w:val="DefaultParagraphFont"/>
    <w:link w:val="BalloonText"/>
    <w:semiHidden/>
    <w:rsid w:val="007B11C2"/>
    <w:rPr>
      <w:rFonts w:ascii="Tahoma" w:hAnsi="Tahoma" w:cs="Tahoma"/>
      <w:sz w:val="16"/>
      <w:szCs w:val="16"/>
    </w:rPr>
  </w:style>
  <w:style w:type="paragraph" w:customStyle="1" w:styleId="StepOne">
    <w:name w:val="Step One"/>
    <w:basedOn w:val="BodyText"/>
    <w:qFormat/>
    <w:rsid w:val="00CE3675"/>
    <w:pPr>
      <w:numPr>
        <w:numId w:val="29"/>
      </w:numPr>
      <w:spacing w:before="20" w:after="20"/>
    </w:pPr>
  </w:style>
  <w:style w:type="paragraph" w:styleId="BodyTextIndent">
    <w:name w:val="Body Text Indent"/>
    <w:basedOn w:val="Normal"/>
    <w:link w:val="BodyTextIndentChar"/>
    <w:semiHidden/>
    <w:locked/>
    <w:rsid w:val="007B11C2"/>
    <w:pPr>
      <w:spacing w:after="120"/>
      <w:ind w:left="360"/>
    </w:pPr>
    <w:rPr>
      <w:rFonts w:eastAsia="Times New Roman"/>
      <w:lang w:eastAsia="en-US"/>
    </w:rPr>
  </w:style>
  <w:style w:type="character" w:customStyle="1" w:styleId="BodyTextIndentChar1">
    <w:name w:val="Body Text Indent Char1"/>
    <w:basedOn w:val="DefaultParagraphFont"/>
    <w:semiHidden/>
    <w:locked/>
    <w:rsid w:val="007B11C2"/>
    <w:rPr>
      <w:rFonts w:ascii="Arial Narrow" w:eastAsia="SimSun" w:hAnsi="Arial Narrow"/>
      <w:sz w:val="16"/>
      <w:lang w:eastAsia="zh-CN"/>
    </w:rPr>
  </w:style>
  <w:style w:type="paragraph" w:customStyle="1" w:styleId="Protocol">
    <w:name w:val="Protocol"/>
    <w:basedOn w:val="BodyText"/>
    <w:locked/>
    <w:rsid w:val="007B11C2"/>
    <w:pPr>
      <w:ind w:left="360"/>
    </w:pPr>
    <w:rPr>
      <w:rFonts w:cs="Arial"/>
      <w:b/>
    </w:rPr>
  </w:style>
  <w:style w:type="paragraph" w:customStyle="1" w:styleId="BulletIndent">
    <w:name w:val="Bullet Indent"/>
    <w:basedOn w:val="Normal"/>
    <w:autoRedefine/>
    <w:semiHidden/>
    <w:locked/>
    <w:rsid w:val="007B11C2"/>
    <w:pPr>
      <w:tabs>
        <w:tab w:val="left" w:pos="720"/>
        <w:tab w:val="left" w:pos="1800"/>
        <w:tab w:val="left" w:pos="2340"/>
      </w:tabs>
    </w:pPr>
    <w:rPr>
      <w:rFonts w:eastAsia="Times New Roman" w:cs="Arial"/>
      <w:szCs w:val="16"/>
      <w:lang w:eastAsia="en-US"/>
    </w:rPr>
  </w:style>
  <w:style w:type="paragraph" w:customStyle="1" w:styleId="text">
    <w:name w:val="text"/>
    <w:basedOn w:val="Normal"/>
    <w:semiHidden/>
    <w:locked/>
    <w:rsid w:val="007B11C2"/>
    <w:pPr>
      <w:spacing w:before="60" w:after="60"/>
    </w:pPr>
    <w:rPr>
      <w:rFonts w:eastAsia="MS Mincho"/>
      <w:sz w:val="22"/>
      <w:szCs w:val="22"/>
      <w:lang w:eastAsia="ja-JP"/>
    </w:rPr>
  </w:style>
  <w:style w:type="paragraph" w:customStyle="1" w:styleId="Address">
    <w:name w:val="Address"/>
    <w:basedOn w:val="BodyText"/>
    <w:link w:val="AddressChar"/>
    <w:qFormat/>
    <w:locked/>
    <w:rsid w:val="007B11C2"/>
    <w:pPr>
      <w:spacing w:before="0" w:after="0"/>
    </w:pPr>
  </w:style>
  <w:style w:type="character" w:customStyle="1" w:styleId="AddressChar">
    <w:name w:val="Address Char"/>
    <w:link w:val="Address"/>
    <w:rsid w:val="007B11C2"/>
    <w:rPr>
      <w:rFonts w:ascii="Arial Narrow" w:hAnsi="Arial Narrow"/>
      <w:sz w:val="16"/>
      <w:szCs w:val="16"/>
    </w:rPr>
  </w:style>
  <w:style w:type="paragraph" w:styleId="PlainText">
    <w:name w:val="Plain Text"/>
    <w:basedOn w:val="Normal"/>
    <w:link w:val="PlainTextChar"/>
    <w:semiHidden/>
    <w:locked/>
    <w:rsid w:val="007B11C2"/>
    <w:rPr>
      <w:rFonts w:ascii="Courier New" w:hAnsi="Courier New" w:cs="Courier New"/>
    </w:rPr>
  </w:style>
  <w:style w:type="character" w:customStyle="1" w:styleId="PlainTextChar">
    <w:name w:val="Plain Text Char"/>
    <w:basedOn w:val="DefaultParagraphFont"/>
    <w:link w:val="PlainText"/>
    <w:semiHidden/>
    <w:rsid w:val="007B11C2"/>
    <w:rPr>
      <w:rFonts w:ascii="Courier New" w:eastAsia="SimSun" w:hAnsi="Courier New" w:cs="Courier New"/>
      <w:sz w:val="16"/>
      <w:lang w:eastAsia="zh-CN"/>
    </w:rPr>
  </w:style>
  <w:style w:type="paragraph" w:styleId="Salutation">
    <w:name w:val="Salutation"/>
    <w:basedOn w:val="Normal"/>
    <w:next w:val="Normal"/>
    <w:link w:val="SalutationChar"/>
    <w:locked/>
    <w:rsid w:val="007B11C2"/>
  </w:style>
  <w:style w:type="character" w:customStyle="1" w:styleId="SalutationChar">
    <w:name w:val="Salutation Char"/>
    <w:basedOn w:val="DefaultParagraphFont"/>
    <w:link w:val="Salutation"/>
    <w:rsid w:val="007B11C2"/>
    <w:rPr>
      <w:rFonts w:ascii="Arial Narrow" w:eastAsia="SimSun" w:hAnsi="Arial Narrow"/>
      <w:sz w:val="16"/>
      <w:lang w:eastAsia="zh-CN"/>
    </w:rPr>
  </w:style>
  <w:style w:type="paragraph" w:styleId="Signature">
    <w:name w:val="Signature"/>
    <w:basedOn w:val="Normal"/>
    <w:link w:val="SignatureChar"/>
    <w:semiHidden/>
    <w:locked/>
    <w:rsid w:val="007B11C2"/>
    <w:pPr>
      <w:ind w:left="4320"/>
    </w:pPr>
  </w:style>
  <w:style w:type="character" w:customStyle="1" w:styleId="SignatureChar">
    <w:name w:val="Signature Char"/>
    <w:basedOn w:val="DefaultParagraphFont"/>
    <w:link w:val="Signature"/>
    <w:semiHidden/>
    <w:rsid w:val="007B11C2"/>
    <w:rPr>
      <w:rFonts w:ascii="Arial Narrow" w:eastAsia="SimSun" w:hAnsi="Arial Narrow"/>
      <w:sz w:val="16"/>
      <w:lang w:eastAsia="zh-CN"/>
    </w:rPr>
  </w:style>
  <w:style w:type="paragraph" w:styleId="Closing">
    <w:name w:val="Closing"/>
    <w:basedOn w:val="Normal"/>
    <w:link w:val="ClosingChar"/>
    <w:semiHidden/>
    <w:locked/>
    <w:rsid w:val="007B11C2"/>
    <w:pPr>
      <w:ind w:left="4320"/>
    </w:pPr>
    <w:rPr>
      <w:rFonts w:eastAsia="Times New Roman"/>
      <w:lang w:eastAsia="en-US"/>
    </w:rPr>
  </w:style>
  <w:style w:type="character" w:customStyle="1" w:styleId="ClosingChar">
    <w:name w:val="Closing Char"/>
    <w:basedOn w:val="DefaultParagraphFont"/>
    <w:link w:val="Closing"/>
    <w:semiHidden/>
    <w:rsid w:val="007B11C2"/>
    <w:rPr>
      <w:rFonts w:ascii="Arial Narrow" w:hAnsi="Arial Narrow"/>
      <w:sz w:val="16"/>
    </w:rPr>
  </w:style>
  <w:style w:type="paragraph" w:styleId="E-mailSignature">
    <w:name w:val="E-mail Signature"/>
    <w:basedOn w:val="Normal"/>
    <w:link w:val="E-mailSignatureChar"/>
    <w:semiHidden/>
    <w:locked/>
    <w:rsid w:val="007B11C2"/>
    <w:rPr>
      <w:rFonts w:eastAsia="Times New Roman"/>
      <w:lang w:eastAsia="en-US"/>
    </w:rPr>
  </w:style>
  <w:style w:type="character" w:customStyle="1" w:styleId="E-mailSignatureChar">
    <w:name w:val="E-mail Signature Char"/>
    <w:basedOn w:val="DefaultParagraphFont"/>
    <w:link w:val="E-mailSignature"/>
    <w:semiHidden/>
    <w:rsid w:val="007B11C2"/>
    <w:rPr>
      <w:rFonts w:ascii="Arial Narrow" w:hAnsi="Arial Narrow"/>
      <w:sz w:val="16"/>
    </w:rPr>
  </w:style>
  <w:style w:type="paragraph" w:styleId="EnvelopeAddress">
    <w:name w:val="envelope address"/>
    <w:basedOn w:val="Normal"/>
    <w:semiHidden/>
    <w:locked/>
    <w:rsid w:val="007B11C2"/>
    <w:pPr>
      <w:framePr w:w="7920" w:h="1980" w:hRule="exact" w:hSpace="180" w:wrap="auto" w:hAnchor="page" w:xAlign="center" w:yAlign="bottom"/>
      <w:ind w:left="2880"/>
    </w:pPr>
    <w:rPr>
      <w:rFonts w:ascii="Arial" w:eastAsia="Times New Roman" w:hAnsi="Arial" w:cs="Arial"/>
      <w:sz w:val="24"/>
      <w:szCs w:val="24"/>
      <w:lang w:eastAsia="en-US"/>
    </w:rPr>
  </w:style>
  <w:style w:type="paragraph" w:styleId="EnvelopeReturn">
    <w:name w:val="envelope return"/>
    <w:basedOn w:val="Normal"/>
    <w:semiHidden/>
    <w:locked/>
    <w:rsid w:val="007B11C2"/>
    <w:rPr>
      <w:rFonts w:ascii="Arial" w:eastAsia="Times New Roman" w:hAnsi="Arial" w:cs="Arial"/>
      <w:lang w:eastAsia="en-US"/>
    </w:rPr>
  </w:style>
  <w:style w:type="character" w:styleId="HTMLAcronym">
    <w:name w:val="HTML Acronym"/>
    <w:semiHidden/>
    <w:locked/>
    <w:rsid w:val="007B11C2"/>
    <w:rPr>
      <w:rFonts w:cs="Times New Roman"/>
    </w:rPr>
  </w:style>
  <w:style w:type="paragraph" w:styleId="HTMLAddress">
    <w:name w:val="HTML Address"/>
    <w:basedOn w:val="Normal"/>
    <w:link w:val="HTMLAddressChar"/>
    <w:semiHidden/>
    <w:locked/>
    <w:rsid w:val="007B11C2"/>
    <w:rPr>
      <w:rFonts w:eastAsia="Times New Roman"/>
      <w:i/>
      <w:iCs/>
      <w:lang w:eastAsia="en-US"/>
    </w:rPr>
  </w:style>
  <w:style w:type="character" w:customStyle="1" w:styleId="HTMLAddressChar">
    <w:name w:val="HTML Address Char"/>
    <w:basedOn w:val="DefaultParagraphFont"/>
    <w:link w:val="HTMLAddress"/>
    <w:semiHidden/>
    <w:rsid w:val="007B11C2"/>
    <w:rPr>
      <w:rFonts w:ascii="Arial Narrow" w:hAnsi="Arial Narrow"/>
      <w:i/>
      <w:iCs/>
      <w:sz w:val="16"/>
    </w:rPr>
  </w:style>
  <w:style w:type="character" w:styleId="HTMLCite">
    <w:name w:val="HTML Cite"/>
    <w:semiHidden/>
    <w:locked/>
    <w:rsid w:val="007B11C2"/>
    <w:rPr>
      <w:rFonts w:cs="Times New Roman"/>
      <w:i/>
      <w:iCs/>
    </w:rPr>
  </w:style>
  <w:style w:type="character" w:styleId="HTMLCode">
    <w:name w:val="HTML Code"/>
    <w:semiHidden/>
    <w:locked/>
    <w:rsid w:val="007B11C2"/>
    <w:rPr>
      <w:rFonts w:ascii="Courier New" w:hAnsi="Courier New" w:cs="Courier New"/>
      <w:sz w:val="20"/>
      <w:szCs w:val="20"/>
    </w:rPr>
  </w:style>
  <w:style w:type="character" w:styleId="HTMLDefinition">
    <w:name w:val="HTML Definition"/>
    <w:semiHidden/>
    <w:locked/>
    <w:rsid w:val="007B11C2"/>
    <w:rPr>
      <w:rFonts w:cs="Times New Roman"/>
      <w:i/>
      <w:iCs/>
    </w:rPr>
  </w:style>
  <w:style w:type="character" w:styleId="HTMLKeyboard">
    <w:name w:val="HTML Keyboard"/>
    <w:semiHidden/>
    <w:locked/>
    <w:rsid w:val="007B11C2"/>
    <w:rPr>
      <w:rFonts w:ascii="Courier New" w:hAnsi="Courier New" w:cs="Courier New"/>
      <w:sz w:val="20"/>
      <w:szCs w:val="20"/>
    </w:rPr>
  </w:style>
  <w:style w:type="paragraph" w:styleId="HTMLPreformatted">
    <w:name w:val="HTML Preformatted"/>
    <w:basedOn w:val="Normal"/>
    <w:link w:val="HTMLPreformattedChar"/>
    <w:semiHidden/>
    <w:locked/>
    <w:rsid w:val="007B11C2"/>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semiHidden/>
    <w:rsid w:val="007B11C2"/>
    <w:rPr>
      <w:rFonts w:ascii="Courier New" w:hAnsi="Courier New" w:cs="Courier New"/>
      <w:sz w:val="16"/>
    </w:rPr>
  </w:style>
  <w:style w:type="character" w:styleId="HTMLSample">
    <w:name w:val="HTML Sample"/>
    <w:semiHidden/>
    <w:locked/>
    <w:rsid w:val="007B11C2"/>
    <w:rPr>
      <w:rFonts w:ascii="Courier New" w:hAnsi="Courier New" w:cs="Courier New"/>
    </w:rPr>
  </w:style>
  <w:style w:type="character" w:styleId="HTMLTypewriter">
    <w:name w:val="HTML Typewriter"/>
    <w:semiHidden/>
    <w:locked/>
    <w:rsid w:val="007B11C2"/>
    <w:rPr>
      <w:rFonts w:ascii="Courier New" w:hAnsi="Courier New" w:cs="Courier New"/>
      <w:sz w:val="20"/>
      <w:szCs w:val="20"/>
    </w:rPr>
  </w:style>
  <w:style w:type="character" w:styleId="HTMLVariable">
    <w:name w:val="HTML Variable"/>
    <w:semiHidden/>
    <w:locked/>
    <w:rsid w:val="007B11C2"/>
    <w:rPr>
      <w:rFonts w:cs="Times New Roman"/>
      <w:i/>
      <w:iCs/>
    </w:rPr>
  </w:style>
  <w:style w:type="character" w:styleId="LineNumber">
    <w:name w:val="line number"/>
    <w:semiHidden/>
    <w:locked/>
    <w:rsid w:val="007B11C2"/>
    <w:rPr>
      <w:rFonts w:cs="Times New Roman"/>
    </w:rPr>
  </w:style>
  <w:style w:type="paragraph" w:styleId="NormalIndent">
    <w:name w:val="Normal Indent"/>
    <w:basedOn w:val="Normal"/>
    <w:semiHidden/>
    <w:locked/>
    <w:rsid w:val="007B11C2"/>
    <w:pPr>
      <w:ind w:left="720"/>
    </w:pPr>
  </w:style>
  <w:style w:type="paragraph" w:styleId="NoteHeading">
    <w:name w:val="Note Heading"/>
    <w:basedOn w:val="Normal"/>
    <w:next w:val="Normal"/>
    <w:link w:val="NoteHeadingChar"/>
    <w:semiHidden/>
    <w:locked/>
    <w:rsid w:val="007B11C2"/>
  </w:style>
  <w:style w:type="character" w:customStyle="1" w:styleId="NoteHeadingChar">
    <w:name w:val="Note Heading Char"/>
    <w:basedOn w:val="DefaultParagraphFont"/>
    <w:link w:val="NoteHeading"/>
    <w:semiHidden/>
    <w:rsid w:val="007B11C2"/>
    <w:rPr>
      <w:rFonts w:ascii="Arial Narrow" w:eastAsia="SimSun" w:hAnsi="Arial Narrow"/>
      <w:sz w:val="16"/>
      <w:lang w:eastAsia="zh-CN"/>
    </w:rPr>
  </w:style>
  <w:style w:type="paragraph" w:customStyle="1" w:styleId="GraphicPlaceholder">
    <w:name w:val="Graphic Placeholder"/>
    <w:basedOn w:val="BodyText"/>
    <w:next w:val="BodyText"/>
    <w:qFormat/>
    <w:locked/>
    <w:rsid w:val="007B11C2"/>
  </w:style>
  <w:style w:type="paragraph" w:customStyle="1" w:styleId="NumberOne">
    <w:name w:val="NumberOne"/>
    <w:basedOn w:val="Normal"/>
    <w:semiHidden/>
    <w:locked/>
    <w:rsid w:val="007B11C2"/>
    <w:rPr>
      <w:szCs w:val="16"/>
    </w:rPr>
  </w:style>
  <w:style w:type="paragraph" w:customStyle="1" w:styleId="LetterIndent">
    <w:name w:val="Letter Indent"/>
    <w:basedOn w:val="LetterList"/>
    <w:qFormat/>
    <w:locked/>
    <w:rsid w:val="007B11C2"/>
    <w:pPr>
      <w:tabs>
        <w:tab w:val="clear" w:pos="360"/>
        <w:tab w:val="left" w:pos="720"/>
      </w:tabs>
      <w:ind w:left="720"/>
    </w:pPr>
  </w:style>
  <w:style w:type="paragraph" w:customStyle="1" w:styleId="LetterList">
    <w:name w:val="Letter List"/>
    <w:basedOn w:val="BodyText"/>
    <w:qFormat/>
    <w:locked/>
    <w:rsid w:val="007B11C2"/>
    <w:pPr>
      <w:tabs>
        <w:tab w:val="num" w:pos="360"/>
      </w:tabs>
      <w:ind w:left="360" w:hanging="360"/>
    </w:pPr>
  </w:style>
  <w:style w:type="paragraph" w:styleId="CommentSubject">
    <w:name w:val="annotation subject"/>
    <w:basedOn w:val="CommentText"/>
    <w:next w:val="CommentText"/>
    <w:link w:val="CommentSubjectChar"/>
    <w:locked/>
    <w:rsid w:val="007B11C2"/>
    <w:rPr>
      <w:b/>
      <w:bCs/>
    </w:rPr>
  </w:style>
  <w:style w:type="character" w:customStyle="1" w:styleId="CommentSubjectChar">
    <w:name w:val="Comment Subject Char"/>
    <w:basedOn w:val="CommentTextChar"/>
    <w:link w:val="CommentSubject"/>
    <w:rsid w:val="007B11C2"/>
    <w:rPr>
      <w:rFonts w:ascii="Arial Narrow" w:eastAsia="SimSun" w:hAnsi="Arial Narrow"/>
      <w:b/>
      <w:bCs/>
      <w:lang w:eastAsia="zh-CN"/>
    </w:rPr>
  </w:style>
  <w:style w:type="paragraph" w:styleId="Caption">
    <w:name w:val="caption"/>
    <w:basedOn w:val="Normal"/>
    <w:next w:val="Normal"/>
    <w:qFormat/>
    <w:locked/>
    <w:rsid w:val="007B11C2"/>
    <w:pPr>
      <w:keepNext/>
      <w:framePr w:hSpace="187" w:vSpace="187" w:wrap="around" w:vAnchor="text" w:hAnchor="text" w:x="-3642" w:y="59"/>
      <w:shd w:val="solid" w:color="FFFFFF" w:fill="FFFFFF"/>
    </w:pPr>
    <w:rPr>
      <w:rFonts w:eastAsia="Times New Roman"/>
      <w:b/>
      <w:lang w:eastAsia="en-US"/>
    </w:rPr>
  </w:style>
  <w:style w:type="paragraph" w:styleId="ListParagraph">
    <w:name w:val="List Paragraph"/>
    <w:basedOn w:val="Normal"/>
    <w:uiPriority w:val="34"/>
    <w:locked/>
    <w:rsid w:val="007B11C2"/>
    <w:pPr>
      <w:ind w:left="720"/>
      <w:contextualSpacing/>
    </w:pPr>
  </w:style>
  <w:style w:type="character" w:styleId="PlaceholderText">
    <w:name w:val="Placeholder Text"/>
    <w:basedOn w:val="DefaultParagraphFont"/>
    <w:uiPriority w:val="99"/>
    <w:semiHidden/>
    <w:locked/>
    <w:rsid w:val="007B11C2"/>
    <w:rPr>
      <w:color w:val="808080"/>
    </w:rPr>
  </w:style>
  <w:style w:type="paragraph" w:styleId="FootnoteText">
    <w:name w:val="footnote text"/>
    <w:basedOn w:val="Normal"/>
    <w:link w:val="FootnoteTextChar"/>
    <w:semiHidden/>
    <w:unhideWhenUsed/>
    <w:locked/>
    <w:rsid w:val="007B11C2"/>
    <w:pPr>
      <w:spacing w:before="0" w:after="0"/>
    </w:pPr>
    <w:rPr>
      <w:sz w:val="20"/>
    </w:rPr>
  </w:style>
  <w:style w:type="character" w:customStyle="1" w:styleId="FootnoteTextChar">
    <w:name w:val="Footnote Text Char"/>
    <w:basedOn w:val="DefaultParagraphFont"/>
    <w:link w:val="FootnoteText"/>
    <w:semiHidden/>
    <w:rsid w:val="007B11C2"/>
    <w:rPr>
      <w:rFonts w:ascii="Arial Narrow" w:eastAsia="SimSun" w:hAnsi="Arial Narrow"/>
      <w:lang w:eastAsia="zh-CN"/>
    </w:rPr>
  </w:style>
  <w:style w:type="character" w:styleId="FootnoteReference">
    <w:name w:val="footnote reference"/>
    <w:basedOn w:val="DefaultParagraphFont"/>
    <w:semiHidden/>
    <w:unhideWhenUsed/>
    <w:locked/>
    <w:rsid w:val="007B1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6706">
      <w:bodyDiv w:val="1"/>
      <w:marLeft w:val="0"/>
      <w:marRight w:val="0"/>
      <w:marTop w:val="0"/>
      <w:marBottom w:val="0"/>
      <w:divBdr>
        <w:top w:val="none" w:sz="0" w:space="0" w:color="auto"/>
        <w:left w:val="none" w:sz="0" w:space="0" w:color="auto"/>
        <w:bottom w:val="none" w:sz="0" w:space="0" w:color="auto"/>
        <w:right w:val="none" w:sz="0" w:space="0" w:color="auto"/>
      </w:divBdr>
      <w:divsChild>
        <w:div w:id="342587462">
          <w:marLeft w:val="0"/>
          <w:marRight w:val="0"/>
          <w:marTop w:val="0"/>
          <w:marBottom w:val="0"/>
          <w:divBdr>
            <w:top w:val="none" w:sz="0" w:space="0" w:color="auto"/>
            <w:left w:val="none" w:sz="0" w:space="0" w:color="auto"/>
            <w:bottom w:val="none" w:sz="0" w:space="0" w:color="auto"/>
            <w:right w:val="none" w:sz="0" w:space="0" w:color="auto"/>
          </w:divBdr>
        </w:div>
        <w:div w:id="433404398">
          <w:marLeft w:val="0"/>
          <w:marRight w:val="0"/>
          <w:marTop w:val="0"/>
          <w:marBottom w:val="0"/>
          <w:divBdr>
            <w:top w:val="none" w:sz="0" w:space="0" w:color="auto"/>
            <w:left w:val="none" w:sz="0" w:space="0" w:color="auto"/>
            <w:bottom w:val="none" w:sz="0" w:space="0" w:color="auto"/>
            <w:right w:val="none" w:sz="0" w:space="0" w:color="auto"/>
          </w:divBdr>
        </w:div>
        <w:div w:id="969945686">
          <w:marLeft w:val="0"/>
          <w:marRight w:val="0"/>
          <w:marTop w:val="0"/>
          <w:marBottom w:val="0"/>
          <w:divBdr>
            <w:top w:val="none" w:sz="0" w:space="0" w:color="auto"/>
            <w:left w:val="none" w:sz="0" w:space="0" w:color="auto"/>
            <w:bottom w:val="none" w:sz="0" w:space="0" w:color="auto"/>
            <w:right w:val="none" w:sz="0" w:space="0" w:color="auto"/>
          </w:divBdr>
        </w:div>
        <w:div w:id="1175002458">
          <w:marLeft w:val="0"/>
          <w:marRight w:val="0"/>
          <w:marTop w:val="0"/>
          <w:marBottom w:val="0"/>
          <w:divBdr>
            <w:top w:val="none" w:sz="0" w:space="0" w:color="auto"/>
            <w:left w:val="none" w:sz="0" w:space="0" w:color="auto"/>
            <w:bottom w:val="none" w:sz="0" w:space="0" w:color="auto"/>
            <w:right w:val="none" w:sz="0" w:space="0" w:color="auto"/>
          </w:divBdr>
        </w:div>
        <w:div w:id="1630547906">
          <w:marLeft w:val="0"/>
          <w:marRight w:val="0"/>
          <w:marTop w:val="0"/>
          <w:marBottom w:val="0"/>
          <w:divBdr>
            <w:top w:val="none" w:sz="0" w:space="0" w:color="auto"/>
            <w:left w:val="none" w:sz="0" w:space="0" w:color="auto"/>
            <w:bottom w:val="none" w:sz="0" w:space="0" w:color="auto"/>
            <w:right w:val="none" w:sz="0" w:space="0" w:color="auto"/>
          </w:divBdr>
        </w:div>
        <w:div w:id="1733775129">
          <w:marLeft w:val="0"/>
          <w:marRight w:val="0"/>
          <w:marTop w:val="0"/>
          <w:marBottom w:val="0"/>
          <w:divBdr>
            <w:top w:val="none" w:sz="0" w:space="0" w:color="auto"/>
            <w:left w:val="none" w:sz="0" w:space="0" w:color="auto"/>
            <w:bottom w:val="none" w:sz="0" w:space="0" w:color="auto"/>
            <w:right w:val="none" w:sz="0" w:space="0" w:color="auto"/>
          </w:divBdr>
        </w:div>
      </w:divsChild>
    </w:div>
    <w:div w:id="752555952">
      <w:bodyDiv w:val="1"/>
      <w:marLeft w:val="0"/>
      <w:marRight w:val="0"/>
      <w:marTop w:val="0"/>
      <w:marBottom w:val="0"/>
      <w:divBdr>
        <w:top w:val="none" w:sz="0" w:space="0" w:color="auto"/>
        <w:left w:val="none" w:sz="0" w:space="0" w:color="auto"/>
        <w:bottom w:val="none" w:sz="0" w:space="0" w:color="auto"/>
        <w:right w:val="none" w:sz="0" w:space="0" w:color="auto"/>
      </w:divBdr>
      <w:divsChild>
        <w:div w:id="15011562">
          <w:marLeft w:val="0"/>
          <w:marRight w:val="0"/>
          <w:marTop w:val="0"/>
          <w:marBottom w:val="0"/>
          <w:divBdr>
            <w:top w:val="none" w:sz="0" w:space="0" w:color="auto"/>
            <w:left w:val="none" w:sz="0" w:space="0" w:color="auto"/>
            <w:bottom w:val="none" w:sz="0" w:space="0" w:color="auto"/>
            <w:right w:val="none" w:sz="0" w:space="0" w:color="auto"/>
          </w:divBdr>
        </w:div>
        <w:div w:id="305550929">
          <w:marLeft w:val="0"/>
          <w:marRight w:val="0"/>
          <w:marTop w:val="0"/>
          <w:marBottom w:val="0"/>
          <w:divBdr>
            <w:top w:val="none" w:sz="0" w:space="0" w:color="auto"/>
            <w:left w:val="none" w:sz="0" w:space="0" w:color="auto"/>
            <w:bottom w:val="none" w:sz="0" w:space="0" w:color="auto"/>
            <w:right w:val="none" w:sz="0" w:space="0" w:color="auto"/>
          </w:divBdr>
        </w:div>
        <w:div w:id="755784994">
          <w:marLeft w:val="0"/>
          <w:marRight w:val="0"/>
          <w:marTop w:val="0"/>
          <w:marBottom w:val="0"/>
          <w:divBdr>
            <w:top w:val="none" w:sz="0" w:space="0" w:color="auto"/>
            <w:left w:val="none" w:sz="0" w:space="0" w:color="auto"/>
            <w:bottom w:val="none" w:sz="0" w:space="0" w:color="auto"/>
            <w:right w:val="none" w:sz="0" w:space="0" w:color="auto"/>
          </w:divBdr>
        </w:div>
        <w:div w:id="1238903295">
          <w:marLeft w:val="0"/>
          <w:marRight w:val="0"/>
          <w:marTop w:val="0"/>
          <w:marBottom w:val="0"/>
          <w:divBdr>
            <w:top w:val="none" w:sz="0" w:space="0" w:color="auto"/>
            <w:left w:val="none" w:sz="0" w:space="0" w:color="auto"/>
            <w:bottom w:val="none" w:sz="0" w:space="0" w:color="auto"/>
            <w:right w:val="none" w:sz="0" w:space="0" w:color="auto"/>
          </w:divBdr>
        </w:div>
        <w:div w:id="1272005417">
          <w:marLeft w:val="0"/>
          <w:marRight w:val="0"/>
          <w:marTop w:val="0"/>
          <w:marBottom w:val="0"/>
          <w:divBdr>
            <w:top w:val="none" w:sz="0" w:space="0" w:color="auto"/>
            <w:left w:val="none" w:sz="0" w:space="0" w:color="auto"/>
            <w:bottom w:val="none" w:sz="0" w:space="0" w:color="auto"/>
            <w:right w:val="none" w:sz="0" w:space="0" w:color="auto"/>
          </w:divBdr>
        </w:div>
        <w:div w:id="1922593422">
          <w:marLeft w:val="0"/>
          <w:marRight w:val="0"/>
          <w:marTop w:val="0"/>
          <w:marBottom w:val="0"/>
          <w:divBdr>
            <w:top w:val="none" w:sz="0" w:space="0" w:color="auto"/>
            <w:left w:val="none" w:sz="0" w:space="0" w:color="auto"/>
            <w:bottom w:val="none" w:sz="0" w:space="0" w:color="auto"/>
            <w:right w:val="none" w:sz="0" w:space="0" w:color="auto"/>
          </w:divBdr>
        </w:div>
      </w:divsChild>
    </w:div>
    <w:div w:id="16814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vifyportal.roche.com/" TargetMode="External"/><Relationship Id="rId18" Type="http://schemas.openxmlformats.org/officeDocument/2006/relationships/hyperlink" Target="http://www.roche.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hyperlink" Target="https://www.sciencedirect.com/topics/medicine-and-dentistry/calcium-binding" TargetMode="External"/><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abdoc.roche.com/symbol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tiff"/><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RTD%20Labeling%20Operations\SDS%20MSs%20transfer%20to%20the%20new%20template\OLD\DCO1002293-CONFIRM%20ANTI-LAMBDA%20RABBIT%20POLYCLONAL%20PRIMARY%20ANTIBODY\FT0700-410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684F5-2269-4D4E-845C-8390F231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FT0700-410v</Template>
  <TotalTime>1</TotalTime>
  <Pages>5</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Ventana Medical Systems, Inc.</Company>
  <LinksUpToDate>false</LinksUpToDate>
  <CharactersWithSpaces>22647</CharactersWithSpaces>
  <SharedDoc>false</SharedDoc>
  <HLinks>
    <vt:vector size="12" baseType="variant">
      <vt:variant>
        <vt:i4>3997806</vt:i4>
      </vt:variant>
      <vt:variant>
        <vt:i4>18</vt:i4>
      </vt:variant>
      <vt:variant>
        <vt:i4>0</vt:i4>
      </vt:variant>
      <vt:variant>
        <vt:i4>5</vt:i4>
      </vt:variant>
      <vt:variant>
        <vt:lpwstr>http://www.ventana.com/</vt:lpwstr>
      </vt:variant>
      <vt:variant>
        <vt:lpwstr/>
      </vt:variant>
      <vt:variant>
        <vt:i4>3997806</vt:i4>
      </vt:variant>
      <vt:variant>
        <vt:i4>0</vt:i4>
      </vt:variant>
      <vt:variant>
        <vt:i4>0</vt:i4>
      </vt:variant>
      <vt:variant>
        <vt:i4>5</vt:i4>
      </vt:variant>
      <vt:variant>
        <vt:lpwstr>http://www.ventana.com/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Nicholson, Courtney {DOAJ~TUCSON}</dc:creator>
  <cp:keywords/>
  <dc:description/>
  <cp:lastModifiedBy>Florencia Fisogni</cp:lastModifiedBy>
  <cp:revision>2</cp:revision>
  <cp:lastPrinted>2024-08-27T15:22:00Z</cp:lastPrinted>
  <dcterms:created xsi:type="dcterms:W3CDTF">2024-09-27T15:08:00Z</dcterms:created>
  <dcterms:modified xsi:type="dcterms:W3CDTF">2024-09-27T15:08:00Z</dcterms:modified>
  <cp:category/>
</cp:coreProperties>
</file>